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2A2D1E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52501A">
        <w:rPr>
          <w:color w:val="14415C" w:themeColor="accent3" w:themeShade="BF"/>
        </w:rPr>
        <w:t>August</w:t>
      </w:r>
      <w:r w:rsidR="00AF0845" w:rsidRPr="001B7C05">
        <w:rPr>
          <w:color w:val="14415C" w:themeColor="accent3" w:themeShade="BF"/>
        </w:rPr>
        <w:t xml:space="preserve"> </w:t>
      </w:r>
      <w:r w:rsidR="0019719D">
        <w:rPr>
          <w:color w:val="14415C" w:themeColor="accent3" w:themeShade="BF"/>
        </w:rPr>
        <w:t>12</w:t>
      </w:r>
      <w:r w:rsidR="00A604D9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F3036E" w:rsidRPr="001B7C05" w:rsidRDefault="00F3036E" w:rsidP="006415C3">
      <w:pPr>
        <w:spacing w:before="0" w:after="0"/>
        <w:rPr>
          <w:color w:val="14415C" w:themeColor="accent3" w:themeShade="BF"/>
        </w:rPr>
      </w:pPr>
    </w:p>
    <w:p w:rsidR="002771E2" w:rsidRPr="009D7C7B" w:rsidRDefault="0096183F">
      <w:pPr>
        <w:pStyle w:val="Heading1"/>
        <w:rPr>
          <w:color w:val="14415C" w:themeColor="accent3" w:themeShade="BF"/>
        </w:rPr>
      </w:pPr>
      <w:r>
        <w:t>Meeting</w:t>
      </w:r>
      <w:r w:rsidR="00A80F05">
        <w:t xml:space="preserve"> topics</w:t>
      </w:r>
    </w:p>
    <w:p w:rsidR="002771E2" w:rsidRPr="005D79F8" w:rsidRDefault="00E93872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14415C" w:themeColor="accent3" w:themeShade="BF"/>
          <w:sz w:val="22"/>
          <w:szCs w:val="22"/>
        </w:rPr>
      </w:pPr>
      <w:r w:rsidRPr="005D79F8">
        <w:rPr>
          <w:color w:val="14415C" w:themeColor="accent3" w:themeShade="BF"/>
          <w:sz w:val="22"/>
          <w:szCs w:val="22"/>
        </w:rPr>
        <w:t xml:space="preserve">EPI Steering </w:t>
      </w:r>
      <w:r w:rsidR="006415C3" w:rsidRPr="005D79F8">
        <w:rPr>
          <w:color w:val="14415C" w:themeColor="accent3" w:themeShade="BF"/>
          <w:sz w:val="22"/>
          <w:szCs w:val="22"/>
        </w:rPr>
        <w:t xml:space="preserve">Committee </w:t>
      </w:r>
      <w:r w:rsidR="006415C3" w:rsidRPr="00B84E36">
        <w:rPr>
          <w:color w:val="14415C" w:themeColor="accent3" w:themeShade="BF"/>
          <w:sz w:val="20"/>
          <w:szCs w:val="20"/>
        </w:rPr>
        <w:t>(</w:t>
      </w:r>
      <w:r w:rsidRPr="00B84E36">
        <w:rPr>
          <w:color w:val="14415C" w:themeColor="accent3" w:themeShade="BF"/>
          <w:sz w:val="20"/>
          <w:szCs w:val="20"/>
        </w:rPr>
        <w:t>Ben Mudgett</w:t>
      </w:r>
      <w:r w:rsidR="006415C3" w:rsidRPr="00B84E36">
        <w:rPr>
          <w:color w:val="14415C" w:themeColor="accent3" w:themeShade="BF"/>
          <w:sz w:val="20"/>
          <w:szCs w:val="20"/>
        </w:rPr>
        <w:t>/</w:t>
      </w:r>
      <w:r w:rsidRPr="00B84E36">
        <w:rPr>
          <w:color w:val="14415C" w:themeColor="accent3" w:themeShade="BF"/>
          <w:sz w:val="20"/>
          <w:szCs w:val="20"/>
        </w:rPr>
        <w:t>Ailsa Aguilar-Kitibutr</w:t>
      </w:r>
      <w:r w:rsidR="00DE0BDC" w:rsidRPr="00B84E36">
        <w:rPr>
          <w:color w:val="14415C" w:themeColor="accent3" w:themeShade="BF"/>
          <w:sz w:val="20"/>
          <w:szCs w:val="20"/>
        </w:rPr>
        <w:t>/Andy Chang</w:t>
      </w:r>
      <w:r w:rsidR="006415C3" w:rsidRPr="00B84E36">
        <w:rPr>
          <w:color w:val="14415C" w:themeColor="accent3" w:themeShade="BF"/>
          <w:sz w:val="20"/>
          <w:szCs w:val="20"/>
        </w:rPr>
        <w:t>)</w:t>
      </w:r>
      <w:r w:rsidRPr="00B84E36">
        <w:rPr>
          <w:color w:val="14415C" w:themeColor="accent3" w:themeShade="BF"/>
          <w:sz w:val="22"/>
          <w:szCs w:val="22"/>
        </w:rPr>
        <w:t xml:space="preserve"> </w:t>
      </w:r>
    </w:p>
    <w:p w:rsidR="007C6254" w:rsidRDefault="0019719D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Statewide Steering Committee webinar – discussion overview</w:t>
      </w:r>
    </w:p>
    <w:p w:rsidR="00DE0BDC" w:rsidRPr="007C6254" w:rsidRDefault="007C6254" w:rsidP="007C6254">
      <w:pPr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i/>
          <w:color w:val="14415C" w:themeColor="accent3" w:themeShade="BF"/>
          <w:sz w:val="18"/>
          <w:szCs w:val="18"/>
        </w:rPr>
        <w:t>IPA, Work Order Form, and Addendum to Subcontract Agreement (CHC/SBVC)</w:t>
      </w:r>
    </w:p>
    <w:p w:rsidR="00B84E36" w:rsidRDefault="007C6254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MOU </w:t>
      </w:r>
      <w:r w:rsidR="0019719D">
        <w:rPr>
          <w:rFonts w:asciiTheme="majorHAnsi" w:hAnsiTheme="majorHAnsi"/>
          <w:color w:val="14415C" w:themeColor="accent3" w:themeShade="BF"/>
          <w:sz w:val="20"/>
          <w:szCs w:val="20"/>
        </w:rPr>
        <w:t>status</w:t>
      </w:r>
    </w:p>
    <w:p w:rsidR="007C6254" w:rsidRDefault="007C6254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Next Steps</w:t>
      </w:r>
    </w:p>
    <w:p w:rsidR="008A2883" w:rsidRDefault="008A2883" w:rsidP="008A2883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0A273E" w:rsidRPr="00445AAF" w:rsidRDefault="00666C4E" w:rsidP="00445AAF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7020" w:right="-90" w:hanging="702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DAWG-PUP </w:t>
      </w:r>
      <w:r w:rsidR="00B84E36">
        <w:rPr>
          <w:color w:val="002060"/>
          <w:sz w:val="22"/>
          <w:szCs w:val="22"/>
        </w:rPr>
        <w:t xml:space="preserve">Pseudo Courses </w:t>
      </w:r>
      <w:r w:rsidR="000A273E" w:rsidRPr="00445AAF">
        <w:rPr>
          <w:color w:val="002060"/>
          <w:sz w:val="22"/>
          <w:szCs w:val="22"/>
        </w:rPr>
        <w:t xml:space="preserve">– </w:t>
      </w:r>
      <w:r w:rsidR="0019719D">
        <w:rPr>
          <w:color w:val="002060"/>
          <w:sz w:val="22"/>
          <w:szCs w:val="22"/>
        </w:rPr>
        <w:t>Status</w:t>
      </w:r>
      <w:r w:rsidR="000A273E" w:rsidRPr="00445AAF">
        <w:rPr>
          <w:color w:val="002060"/>
          <w:sz w:val="22"/>
          <w:szCs w:val="22"/>
        </w:rPr>
        <w:t xml:space="preserve"> </w:t>
      </w:r>
      <w:r w:rsidR="00445AAF">
        <w:rPr>
          <w:color w:val="002060"/>
          <w:sz w:val="22"/>
          <w:szCs w:val="22"/>
        </w:rPr>
        <w:t xml:space="preserve">   </w:t>
      </w:r>
      <w:r w:rsidR="00445AAF" w:rsidRPr="00B84E36">
        <w:rPr>
          <w:color w:val="002060"/>
          <w:sz w:val="20"/>
          <w:szCs w:val="20"/>
        </w:rPr>
        <w:t>(</w:t>
      </w:r>
      <w:r w:rsidR="0019719D">
        <w:rPr>
          <w:color w:val="002060"/>
          <w:sz w:val="20"/>
          <w:szCs w:val="20"/>
        </w:rPr>
        <w:t>Ben Mudgett</w:t>
      </w:r>
      <w:r w:rsidR="000A273E" w:rsidRPr="00B84E36">
        <w:rPr>
          <w:color w:val="002060"/>
          <w:sz w:val="20"/>
          <w:szCs w:val="20"/>
        </w:rPr>
        <w:t>)</w:t>
      </w:r>
    </w:p>
    <w:p w:rsidR="004C17EE" w:rsidRDefault="004C17EE" w:rsidP="004C17EE">
      <w:pPr>
        <w:pStyle w:val="ListParagraph"/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64D47" w:rsidRPr="00666C4E" w:rsidRDefault="00B64D47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0A273E" w:rsidRPr="005D79F8" w:rsidRDefault="00B84E36" w:rsidP="00B64D4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III</w:t>
      </w:r>
      <w:r w:rsidR="00B64D47" w:rsidRPr="005D79F8">
        <w:rPr>
          <w:color w:val="14415C" w:themeColor="accent3" w:themeShade="BF"/>
          <w:sz w:val="22"/>
          <w:szCs w:val="22"/>
        </w:rPr>
        <w:t xml:space="preserve">. </w:t>
      </w:r>
      <w:r w:rsidR="00F37ADB" w:rsidRPr="005D79F8">
        <w:rPr>
          <w:color w:val="14415C" w:themeColor="accent3" w:themeShade="BF"/>
          <w:sz w:val="22"/>
          <w:szCs w:val="22"/>
        </w:rPr>
        <w:t xml:space="preserve">Financial Aid Audit and Annual Setup </w:t>
      </w:r>
      <w:r w:rsidR="00F3036E" w:rsidRPr="005D79F8">
        <w:rPr>
          <w:color w:val="14415C" w:themeColor="accent3" w:themeShade="BF"/>
          <w:sz w:val="22"/>
          <w:szCs w:val="22"/>
        </w:rPr>
        <w:t xml:space="preserve">Status </w:t>
      </w:r>
      <w:r w:rsidR="00F37ADB" w:rsidRPr="00445AAF">
        <w:rPr>
          <w:color w:val="14415C" w:themeColor="accent3" w:themeShade="BF"/>
          <w:sz w:val="20"/>
          <w:szCs w:val="20"/>
        </w:rPr>
        <w:t>(Vendor Project</w:t>
      </w:r>
      <w:r w:rsidR="00636D0D" w:rsidRPr="00445AAF">
        <w:rPr>
          <w:color w:val="14415C" w:themeColor="accent3" w:themeShade="BF"/>
          <w:sz w:val="20"/>
          <w:szCs w:val="20"/>
        </w:rPr>
        <w:t>/Cory Brady</w:t>
      </w:r>
      <w:r w:rsidR="00F37ADB" w:rsidRPr="00445AAF">
        <w:rPr>
          <w:color w:val="14415C" w:themeColor="accent3" w:themeShade="BF"/>
          <w:sz w:val="20"/>
          <w:szCs w:val="20"/>
        </w:rPr>
        <w:t>)</w:t>
      </w:r>
    </w:p>
    <w:p w:rsidR="00B64D47" w:rsidRPr="00666C4E" w:rsidRDefault="00B64D47" w:rsidP="00A604D9">
      <w:pPr>
        <w:rPr>
          <w:rFonts w:asciiTheme="majorHAnsi" w:hAnsiTheme="majorHAnsi"/>
          <w:sz w:val="20"/>
          <w:szCs w:val="20"/>
        </w:rPr>
      </w:pPr>
    </w:p>
    <w:p w:rsidR="000A273E" w:rsidRPr="005D79F8" w:rsidRDefault="00666C4E" w:rsidP="00666C4E">
      <w:pPr>
        <w:pStyle w:val="Subtitle"/>
        <w:numPr>
          <w:ilvl w:val="0"/>
          <w:numId w:val="0"/>
        </w:numPr>
        <w:tabs>
          <w:tab w:val="left" w:pos="54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IV.</w:t>
      </w:r>
      <w:r w:rsidR="00B64D47" w:rsidRPr="005D79F8">
        <w:rPr>
          <w:color w:val="14415C" w:themeColor="accent3" w:themeShade="BF"/>
          <w:sz w:val="22"/>
          <w:szCs w:val="22"/>
        </w:rPr>
        <w:t xml:space="preserve"> </w:t>
      </w:r>
      <w:r w:rsidR="00F37ADB" w:rsidRPr="005D79F8">
        <w:rPr>
          <w:color w:val="14415C" w:themeColor="accent3" w:themeShade="BF"/>
          <w:sz w:val="22"/>
          <w:szCs w:val="22"/>
        </w:rPr>
        <w:t>Colleague UI: Grey Screen Conversions</w:t>
      </w:r>
      <w:r w:rsidR="00636D0D" w:rsidRPr="005D79F8">
        <w:rPr>
          <w:color w:val="14415C" w:themeColor="accent3" w:themeShade="BF"/>
          <w:sz w:val="22"/>
          <w:szCs w:val="22"/>
        </w:rPr>
        <w:t xml:space="preserve"> </w:t>
      </w:r>
      <w:r w:rsidR="00F3036E" w:rsidRPr="005D79F8">
        <w:rPr>
          <w:color w:val="14415C" w:themeColor="accent3" w:themeShade="BF"/>
          <w:sz w:val="22"/>
          <w:szCs w:val="22"/>
        </w:rPr>
        <w:t xml:space="preserve">Status </w:t>
      </w:r>
      <w:r w:rsidR="00636D0D" w:rsidRPr="00445AAF">
        <w:rPr>
          <w:color w:val="14415C" w:themeColor="accent3" w:themeShade="BF"/>
          <w:sz w:val="20"/>
          <w:szCs w:val="20"/>
        </w:rPr>
        <w:t>(Special Project/Cory Brady)</w:t>
      </w:r>
    </w:p>
    <w:p w:rsidR="0019719D" w:rsidRPr="00666C4E" w:rsidRDefault="0019719D" w:rsidP="0019719D">
      <w:pPr>
        <w:spacing w:before="0"/>
        <w:rPr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    </w:t>
      </w:r>
      <w:r w:rsidRPr="00666C4E">
        <w:sym w:font="Wingdings 2" w:char="F097"/>
      </w:r>
      <w:r w:rsidRPr="00666C4E">
        <w:rPr>
          <w:rFonts w:asciiTheme="majorHAnsi" w:hAnsiTheme="majorHAnsi"/>
          <w:color w:val="002060"/>
          <w:sz w:val="22"/>
          <w:szCs w:val="22"/>
        </w:rPr>
        <w:t xml:space="preserve"> Status </w:t>
      </w:r>
    </w:p>
    <w:p w:rsidR="00666C4E" w:rsidRPr="00666C4E" w:rsidRDefault="00666C4E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F37ADB" w:rsidRPr="00445AAF" w:rsidRDefault="00666C4E" w:rsidP="00666C4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V.</w:t>
      </w:r>
      <w:r w:rsidR="00B64D47" w:rsidRPr="00445AAF">
        <w:rPr>
          <w:color w:val="14415C" w:themeColor="accent3" w:themeShade="BF"/>
          <w:sz w:val="22"/>
          <w:szCs w:val="22"/>
        </w:rPr>
        <w:t xml:space="preserve"> </w:t>
      </w:r>
      <w:r w:rsidR="005D79F8" w:rsidRP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 xml:space="preserve">DREG Automation </w:t>
      </w:r>
      <w:r w:rsidR="001B7C05" w:rsidRPr="00445AAF">
        <w:rPr>
          <w:color w:val="14415C" w:themeColor="accent3" w:themeShade="BF"/>
          <w:sz w:val="22"/>
          <w:szCs w:val="22"/>
        </w:rPr>
        <w:t>for</w:t>
      </w:r>
      <w:r w:rsidR="00636D0D" w:rsidRPr="00445AAF">
        <w:rPr>
          <w:color w:val="14415C" w:themeColor="accent3" w:themeShade="BF"/>
          <w:sz w:val="22"/>
          <w:szCs w:val="22"/>
        </w:rPr>
        <w:t xml:space="preserve"> “</w:t>
      </w:r>
      <w:r w:rsidR="00636D0D"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="00636D0D" w:rsidRPr="00445AAF">
        <w:rPr>
          <w:color w:val="14415C" w:themeColor="accent3" w:themeShade="BF"/>
          <w:sz w:val="22"/>
          <w:szCs w:val="22"/>
        </w:rPr>
        <w:t xml:space="preserve">” </w:t>
      </w:r>
      <w:r w:rsidR="005D79F8" w:rsidRPr="00445AAF">
        <w:rPr>
          <w:color w:val="14415C" w:themeColor="accent3" w:themeShade="BF"/>
          <w:sz w:val="22"/>
          <w:szCs w:val="22"/>
        </w:rPr>
        <w:t>–</w:t>
      </w:r>
      <w:r w:rsidR="00636D0D" w:rsidRPr="00445AAF">
        <w:rPr>
          <w:color w:val="14415C" w:themeColor="accent3" w:themeShade="BF"/>
          <w:sz w:val="22"/>
          <w:szCs w:val="22"/>
        </w:rPr>
        <w:t xml:space="preserve"> XPRR</w:t>
      </w:r>
      <w:r w:rsidR="005D79F8" w:rsidRPr="00445AAF">
        <w:rPr>
          <w:color w:val="14415C" w:themeColor="accent3" w:themeShade="BF"/>
          <w:sz w:val="22"/>
          <w:szCs w:val="22"/>
        </w:rPr>
        <w:t>/</w:t>
      </w:r>
      <w:r w:rsidR="00636D0D" w:rsidRPr="00445AAF">
        <w:rPr>
          <w:color w:val="14415C" w:themeColor="accent3" w:themeShade="BF"/>
          <w:sz w:val="22"/>
          <w:szCs w:val="22"/>
        </w:rPr>
        <w:t>RQMM</w:t>
      </w:r>
      <w:r w:rsid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>(</w:t>
      </w:r>
      <w:r w:rsidR="00636D0D" w:rsidRPr="00445AAF">
        <w:rPr>
          <w:color w:val="14415C" w:themeColor="accent3" w:themeShade="BF"/>
          <w:sz w:val="18"/>
          <w:szCs w:val="18"/>
        </w:rPr>
        <w:t>Special Project/</w:t>
      </w:r>
      <w:r w:rsidR="0052501A">
        <w:rPr>
          <w:color w:val="14415C" w:themeColor="accent3" w:themeShade="BF"/>
          <w:sz w:val="18"/>
          <w:szCs w:val="18"/>
        </w:rPr>
        <w:t>Joyce Bond</w:t>
      </w:r>
      <w:r w:rsidR="00636D0D" w:rsidRPr="00445AAF">
        <w:rPr>
          <w:color w:val="14415C" w:themeColor="accent3" w:themeShade="BF"/>
          <w:sz w:val="18"/>
          <w:szCs w:val="18"/>
        </w:rPr>
        <w:t>)</w:t>
      </w:r>
    </w:p>
    <w:p w:rsidR="00666C4E" w:rsidRPr="00666C4E" w:rsidRDefault="00666C4E" w:rsidP="00666C4E">
      <w:pPr>
        <w:spacing w:before="0"/>
        <w:rPr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    </w:t>
      </w:r>
      <w:r w:rsidRPr="00666C4E">
        <w:sym w:font="Wingdings 2" w:char="F097"/>
      </w:r>
      <w:r w:rsidRPr="00666C4E">
        <w:rPr>
          <w:rFonts w:asciiTheme="majorHAnsi" w:hAnsiTheme="majorHAnsi"/>
          <w:color w:val="002060"/>
          <w:sz w:val="22"/>
          <w:szCs w:val="22"/>
        </w:rPr>
        <w:t xml:space="preserve"> Status </w:t>
      </w:r>
    </w:p>
    <w:p w:rsidR="00D24A20" w:rsidRDefault="00D24A20" w:rsidP="000A273E">
      <w:pPr>
        <w:ind w:left="0"/>
        <w:rPr>
          <w:rFonts w:asciiTheme="majorHAnsi" w:hAnsiTheme="majorHAnsi"/>
          <w:sz w:val="20"/>
          <w:szCs w:val="20"/>
        </w:rPr>
      </w:pPr>
    </w:p>
    <w:p w:rsidR="00D24A20" w:rsidRPr="00D24A20" w:rsidRDefault="00D24A20" w:rsidP="00D24A20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C00000"/>
          <w:sz w:val="22"/>
          <w:szCs w:val="22"/>
        </w:rPr>
      </w:pPr>
      <w:r w:rsidRPr="00D24A20">
        <w:rPr>
          <w:color w:val="C00000"/>
          <w:sz w:val="22"/>
          <w:szCs w:val="22"/>
        </w:rPr>
        <w:t>VI. WebAdvisor Surveys (</w:t>
      </w:r>
      <w:r w:rsidRPr="00D24A20">
        <w:rPr>
          <w:color w:val="C00000"/>
          <w:sz w:val="18"/>
          <w:szCs w:val="18"/>
        </w:rPr>
        <w:t>Special Project/Michael Aquino</w:t>
      </w:r>
      <w:r w:rsidR="002A2D1E">
        <w:rPr>
          <w:color w:val="C00000"/>
          <w:sz w:val="18"/>
          <w:szCs w:val="18"/>
        </w:rPr>
        <w:t>/Jason Brady</w:t>
      </w:r>
      <w:bookmarkStart w:id="0" w:name="_GoBack"/>
      <w:bookmarkEnd w:id="0"/>
      <w:r w:rsidRPr="00D24A20">
        <w:rPr>
          <w:color w:val="C00000"/>
          <w:sz w:val="18"/>
          <w:szCs w:val="18"/>
        </w:rPr>
        <w:t>)</w:t>
      </w:r>
    </w:p>
    <w:p w:rsidR="00D24A20" w:rsidRPr="00666C4E" w:rsidRDefault="00D24A20" w:rsidP="00D24A20">
      <w:pPr>
        <w:spacing w:before="0"/>
        <w:rPr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    </w:t>
      </w:r>
    </w:p>
    <w:p w:rsidR="00D24A20" w:rsidRDefault="00D24A20" w:rsidP="000A273E">
      <w:pPr>
        <w:ind w:left="0"/>
        <w:rPr>
          <w:rFonts w:asciiTheme="majorHAnsi" w:hAnsiTheme="majorHAnsi"/>
          <w:sz w:val="20"/>
          <w:szCs w:val="20"/>
        </w:rPr>
      </w:pPr>
    </w:p>
    <w:p w:rsidR="00D24A20" w:rsidRPr="00D24A20" w:rsidRDefault="00D24A20" w:rsidP="00D24A20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C00000"/>
          <w:sz w:val="22"/>
          <w:szCs w:val="22"/>
        </w:rPr>
      </w:pPr>
      <w:r w:rsidRPr="00D24A20">
        <w:rPr>
          <w:color w:val="C00000"/>
          <w:sz w:val="22"/>
          <w:szCs w:val="22"/>
        </w:rPr>
        <w:t>V</w:t>
      </w:r>
      <w:r>
        <w:rPr>
          <w:color w:val="C00000"/>
          <w:sz w:val="22"/>
          <w:szCs w:val="22"/>
        </w:rPr>
        <w:t>I</w:t>
      </w:r>
      <w:r w:rsidRPr="00D24A20">
        <w:rPr>
          <w:color w:val="C00000"/>
          <w:sz w:val="22"/>
          <w:szCs w:val="22"/>
        </w:rPr>
        <w:t xml:space="preserve">I. </w:t>
      </w:r>
      <w:r>
        <w:rPr>
          <w:color w:val="C00000"/>
          <w:sz w:val="22"/>
          <w:szCs w:val="22"/>
        </w:rPr>
        <w:t>Residency Status Code update</w:t>
      </w:r>
      <w:r w:rsidRPr="00D24A20">
        <w:rPr>
          <w:color w:val="C00000"/>
          <w:sz w:val="22"/>
          <w:szCs w:val="22"/>
        </w:rPr>
        <w:t xml:space="preserve"> (</w:t>
      </w:r>
      <w:r>
        <w:rPr>
          <w:color w:val="C00000"/>
          <w:sz w:val="18"/>
          <w:szCs w:val="18"/>
        </w:rPr>
        <w:t>Amber Gallagher</w:t>
      </w:r>
      <w:r w:rsidRPr="00D24A20">
        <w:rPr>
          <w:color w:val="C00000"/>
          <w:sz w:val="18"/>
          <w:szCs w:val="18"/>
        </w:rPr>
        <w:t>)</w:t>
      </w:r>
    </w:p>
    <w:p w:rsidR="00D24A20" w:rsidRDefault="00D24A20" w:rsidP="000A273E">
      <w:pPr>
        <w:ind w:left="0"/>
        <w:rPr>
          <w:rFonts w:asciiTheme="majorHAnsi" w:hAnsiTheme="majorHAnsi"/>
          <w:sz w:val="20"/>
          <w:szCs w:val="20"/>
        </w:rPr>
      </w:pPr>
    </w:p>
    <w:p w:rsidR="00D24A20" w:rsidRPr="00666C4E" w:rsidRDefault="00D24A20" w:rsidP="000A273E">
      <w:pPr>
        <w:ind w:left="0"/>
        <w:rPr>
          <w:rFonts w:asciiTheme="majorHAnsi" w:hAnsiTheme="majorHAnsi"/>
          <w:sz w:val="20"/>
          <w:szCs w:val="20"/>
        </w:rPr>
      </w:pPr>
    </w:p>
    <w:p w:rsidR="00B84E36" w:rsidRPr="00445AAF" w:rsidRDefault="00D24A20" w:rsidP="00D24A20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162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VIII.</w:t>
      </w:r>
      <w:r w:rsidR="00666C4E">
        <w:rPr>
          <w:color w:val="002060"/>
          <w:sz w:val="22"/>
          <w:szCs w:val="22"/>
        </w:rPr>
        <w:t xml:space="preserve"> </w:t>
      </w:r>
      <w:r w:rsidR="00B84E36" w:rsidRPr="00445AAF">
        <w:rPr>
          <w:color w:val="002060"/>
          <w:sz w:val="22"/>
          <w:szCs w:val="22"/>
        </w:rPr>
        <w:t xml:space="preserve">Academic Program – Allow Only 1 active, per College </w:t>
      </w:r>
      <w:r w:rsidR="00B84E36" w:rsidRPr="00820B44">
        <w:rPr>
          <w:color w:val="002060"/>
          <w:sz w:val="20"/>
          <w:szCs w:val="20"/>
        </w:rPr>
        <w:t>(Amber Gallagher)</w:t>
      </w:r>
    </w:p>
    <w:p w:rsidR="00B84E36" w:rsidRPr="00820B44" w:rsidRDefault="00820B44" w:rsidP="00820B44">
      <w:pPr>
        <w:tabs>
          <w:tab w:val="left" w:pos="1080"/>
        </w:tabs>
        <w:spacing w:before="0" w:after="0"/>
        <w:ind w:left="0"/>
        <w:rPr>
          <w:rFonts w:asciiTheme="majorHAnsi" w:hAnsiTheme="majorHAnsi"/>
          <w:color w:val="14415C" w:themeColor="accent3" w:themeShade="BF"/>
          <w:sz w:val="22"/>
          <w:szCs w:val="22"/>
        </w:rPr>
      </w:pP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         </w:t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sym w:font="Wingdings 2" w:char="F097"/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</w:t>
      </w:r>
      <w:r w:rsidR="00B84E36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SBVC approval – </w:t>
      </w:r>
      <w:r w:rsidR="00666C4E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to be </w:t>
      </w:r>
      <w:r w:rsidR="00B84E36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>confirm</w:t>
      </w:r>
      <w:r w:rsidR="00666C4E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>ed</w:t>
      </w:r>
      <w:r w:rsidR="00B84E36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with Marco Cota </w:t>
      </w:r>
      <w:r w:rsidR="00B84E36" w:rsidRPr="00820B44">
        <w:rPr>
          <w:rFonts w:asciiTheme="majorHAnsi" w:hAnsiTheme="majorHAnsi"/>
          <w:color w:val="14415C" w:themeColor="accent3" w:themeShade="BF"/>
          <w:sz w:val="20"/>
          <w:szCs w:val="20"/>
        </w:rPr>
        <w:t>(Amber Gallagher)</w:t>
      </w:r>
    </w:p>
    <w:p w:rsidR="00666C4E" w:rsidRPr="00820B44" w:rsidRDefault="00820B44" w:rsidP="00820B44">
      <w:p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        </w:t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sym w:font="Wingdings 2" w:char="F097"/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</w:t>
      </w:r>
      <w:r w:rsidR="00666C4E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CHC Academic Senate Response – Follow-up with Denise in September 2015 </w:t>
      </w:r>
      <w:r w:rsidR="00666C4E" w:rsidRPr="00820B44">
        <w:rPr>
          <w:rFonts w:asciiTheme="majorHAnsi" w:hAnsiTheme="majorHAnsi"/>
          <w:color w:val="14415C" w:themeColor="accent3" w:themeShade="BF"/>
          <w:sz w:val="20"/>
          <w:szCs w:val="20"/>
        </w:rPr>
        <w:t>(Joe Cabrales)</w:t>
      </w:r>
    </w:p>
    <w:p w:rsidR="00B84E36" w:rsidRDefault="00B84E36" w:rsidP="00B84E36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666C4E" w:rsidRPr="00497EC3" w:rsidRDefault="00666C4E" w:rsidP="00B84E36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B84E36" w:rsidRPr="005D79F8" w:rsidRDefault="00D24A20" w:rsidP="00820B44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D2B3E" w:themeColor="accent3" w:themeShade="80"/>
        </w:rPr>
      </w:pPr>
      <w:r>
        <w:rPr>
          <w:color w:val="14415C" w:themeColor="accent3" w:themeShade="BF"/>
          <w:sz w:val="22"/>
          <w:szCs w:val="22"/>
        </w:rPr>
        <w:t>IX</w:t>
      </w:r>
      <w:r w:rsidR="00B84E36" w:rsidRPr="00666C4E">
        <w:rPr>
          <w:color w:val="14415C" w:themeColor="accent3" w:themeShade="BF"/>
          <w:sz w:val="22"/>
          <w:szCs w:val="22"/>
        </w:rPr>
        <w:t>.</w:t>
      </w:r>
      <w:r w:rsidR="00820B44">
        <w:rPr>
          <w:color w:val="14415C" w:themeColor="accent3" w:themeShade="BF"/>
        </w:rPr>
        <w:t xml:space="preserve"> </w:t>
      </w:r>
      <w:r w:rsidR="00B84E36" w:rsidRPr="00820B44">
        <w:rPr>
          <w:color w:val="14415C" w:themeColor="accent3" w:themeShade="BF"/>
          <w:sz w:val="22"/>
          <w:szCs w:val="22"/>
        </w:rPr>
        <w:t>Mobile Application</w:t>
      </w:r>
      <w:r w:rsidR="00B84E36" w:rsidRPr="005D79F8">
        <w:t xml:space="preserve"> </w:t>
      </w:r>
      <w:r w:rsidR="00B84E36" w:rsidRPr="005D79F8">
        <w:rPr>
          <w:color w:val="0D2B3E" w:themeColor="accent3" w:themeShade="80"/>
        </w:rPr>
        <w:t>– Define procedures for sending mobile notifications (TESS Executive)</w:t>
      </w:r>
    </w:p>
    <w:p w:rsidR="00B84E36" w:rsidRPr="00B64D47" w:rsidRDefault="00B84E36" w:rsidP="00B84E36">
      <w:pPr>
        <w:pStyle w:val="ListNumber"/>
        <w:tabs>
          <w:tab w:val="clear" w:pos="180"/>
        </w:tabs>
        <w:spacing w:before="0" w:after="0"/>
        <w:ind w:firstLine="0"/>
        <w:rPr>
          <w:rFonts w:asciiTheme="majorHAnsi" w:hAnsiTheme="majorHAnsi"/>
          <w:b w:val="0"/>
          <w:color w:val="002060"/>
          <w:sz w:val="20"/>
          <w:szCs w:val="20"/>
          <w:u w:val="none"/>
        </w:rPr>
      </w:pPr>
      <w:r w:rsidRPr="00B64D47"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     </w:t>
      </w:r>
      <w:r>
        <w:rPr>
          <w:rFonts w:asciiTheme="majorHAnsi" w:hAnsiTheme="majorHAnsi"/>
          <w:b w:val="0"/>
          <w:color w:val="002060"/>
          <w:sz w:val="20"/>
          <w:szCs w:val="20"/>
          <w:u w:val="none"/>
        </w:rPr>
        <w:sym w:font="Wingdings 2" w:char="F097"/>
      </w:r>
      <w:r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 </w:t>
      </w:r>
      <w:r w:rsidR="0019719D">
        <w:rPr>
          <w:rFonts w:asciiTheme="majorHAnsi" w:hAnsiTheme="majorHAnsi"/>
          <w:b w:val="0"/>
          <w:color w:val="002060"/>
          <w:sz w:val="20"/>
          <w:szCs w:val="20"/>
          <w:u w:val="none"/>
        </w:rPr>
        <w:t>Status</w:t>
      </w:r>
      <w:r w:rsidRPr="00B64D47"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 </w:t>
      </w:r>
    </w:p>
    <w:p w:rsidR="00B84E36" w:rsidRPr="00820B44" w:rsidRDefault="00B84E36" w:rsidP="00B84E36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B64D47" w:rsidRPr="00820B44" w:rsidRDefault="00B64D47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66C4E" w:rsidRPr="00820B44" w:rsidRDefault="00666C4E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2771E2" w:rsidRPr="00445AAF" w:rsidRDefault="00B64D47" w:rsidP="001B7C05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445AAF">
        <w:rPr>
          <w:color w:val="14415C" w:themeColor="accent3" w:themeShade="BF"/>
          <w:sz w:val="22"/>
          <w:szCs w:val="22"/>
        </w:rPr>
        <w:t>Miscellaneous Items</w:t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</w:p>
    <w:p w:rsidR="00636D0D" w:rsidRPr="00B73FCB" w:rsidRDefault="000D5ACE" w:rsidP="00B64D47">
      <w:pPr>
        <w:spacing w:after="120"/>
        <w:rPr>
          <w:rFonts w:asciiTheme="majorHAnsi" w:hAnsiTheme="majorHAnsi" w:cs="Courier New"/>
          <w:color w:val="14415C" w:themeColor="accent3" w:themeShade="BF"/>
        </w:rPr>
      </w:pPr>
      <w:r w:rsidRPr="00B73FCB">
        <w:rPr>
          <w:rFonts w:asciiTheme="majorHAnsi" w:hAnsiTheme="majorHAnsi" w:cs="Courier New"/>
          <w:color w:val="14415C" w:themeColor="accent3" w:themeShade="BF"/>
        </w:rPr>
        <w:sym w:font="Wingdings 2" w:char="F097"/>
      </w:r>
      <w:r w:rsidR="00B73FCB" w:rsidRPr="00B73FCB">
        <w:rPr>
          <w:rFonts w:asciiTheme="majorHAnsi" w:hAnsiTheme="majorHAnsi" w:cs="Courier New"/>
          <w:color w:val="14415C" w:themeColor="accent3" w:themeShade="BF"/>
        </w:rPr>
        <w:t xml:space="preserve">  </w:t>
      </w:r>
    </w:p>
    <w:p w:rsidR="000D5ACE" w:rsidRDefault="000D5ACE" w:rsidP="00B64D47">
      <w:pPr>
        <w:spacing w:before="24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sectPr w:rsidR="000D5ACE" w:rsidSect="00F3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4A2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21"/>
  </w:num>
  <w:num w:numId="14">
    <w:abstractNumId w:val="12"/>
  </w:num>
  <w:num w:numId="15">
    <w:abstractNumId w:val="20"/>
  </w:num>
  <w:num w:numId="16">
    <w:abstractNumId w:val="15"/>
  </w:num>
  <w:num w:numId="17">
    <w:abstractNumId w:val="10"/>
  </w:num>
  <w:num w:numId="18">
    <w:abstractNumId w:val="18"/>
  </w:num>
  <w:num w:numId="19">
    <w:abstractNumId w:val="14"/>
  </w:num>
  <w:num w:numId="20">
    <w:abstractNumId w:val="22"/>
  </w:num>
  <w:num w:numId="21">
    <w:abstractNumId w:val="13"/>
  </w:num>
  <w:num w:numId="22">
    <w:abstractNumId w:val="17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73F7C"/>
    <w:rsid w:val="0019719D"/>
    <w:rsid w:val="001B7C05"/>
    <w:rsid w:val="00212D03"/>
    <w:rsid w:val="002771E2"/>
    <w:rsid w:val="002A2D1E"/>
    <w:rsid w:val="00366708"/>
    <w:rsid w:val="003A5442"/>
    <w:rsid w:val="003C7719"/>
    <w:rsid w:val="003F1156"/>
    <w:rsid w:val="00445AAF"/>
    <w:rsid w:val="00497EC3"/>
    <w:rsid w:val="004C17EE"/>
    <w:rsid w:val="0052501A"/>
    <w:rsid w:val="0054734D"/>
    <w:rsid w:val="005D4B87"/>
    <w:rsid w:val="005D79F8"/>
    <w:rsid w:val="00636D0D"/>
    <w:rsid w:val="006415C3"/>
    <w:rsid w:val="00666C4E"/>
    <w:rsid w:val="006D27AD"/>
    <w:rsid w:val="006F5DDC"/>
    <w:rsid w:val="006F7277"/>
    <w:rsid w:val="007577CF"/>
    <w:rsid w:val="007B4C62"/>
    <w:rsid w:val="007C6254"/>
    <w:rsid w:val="00820B44"/>
    <w:rsid w:val="00845100"/>
    <w:rsid w:val="008A2883"/>
    <w:rsid w:val="0096183F"/>
    <w:rsid w:val="009823F7"/>
    <w:rsid w:val="009D7C7B"/>
    <w:rsid w:val="00A604D9"/>
    <w:rsid w:val="00A80F05"/>
    <w:rsid w:val="00AD4DFD"/>
    <w:rsid w:val="00AF0845"/>
    <w:rsid w:val="00B64D47"/>
    <w:rsid w:val="00B73FCB"/>
    <w:rsid w:val="00B84E36"/>
    <w:rsid w:val="00C90E57"/>
    <w:rsid w:val="00CC2657"/>
    <w:rsid w:val="00D24A20"/>
    <w:rsid w:val="00DA1F71"/>
    <w:rsid w:val="00DE0BDC"/>
    <w:rsid w:val="00E3167C"/>
    <w:rsid w:val="00E90F79"/>
    <w:rsid w:val="00E93872"/>
    <w:rsid w:val="00EC44F1"/>
    <w:rsid w:val="00F3036E"/>
    <w:rsid w:val="00F37ADB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3</cp:revision>
  <cp:lastPrinted>2015-08-12T20:41:00Z</cp:lastPrinted>
  <dcterms:created xsi:type="dcterms:W3CDTF">2015-08-12T18:32:00Z</dcterms:created>
  <dcterms:modified xsi:type="dcterms:W3CDTF">2015-08-12T20:41:00Z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