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D1144D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52501A">
        <w:rPr>
          <w:color w:val="14415C" w:themeColor="accent3" w:themeShade="BF"/>
        </w:rPr>
        <w:t>August</w:t>
      </w:r>
      <w:r w:rsidR="00AF0845" w:rsidRPr="001B7C05">
        <w:rPr>
          <w:color w:val="14415C" w:themeColor="accent3" w:themeShade="BF"/>
        </w:rPr>
        <w:t xml:space="preserve"> </w:t>
      </w:r>
      <w:r w:rsidR="0019719D">
        <w:rPr>
          <w:color w:val="14415C" w:themeColor="accent3" w:themeShade="BF"/>
        </w:rPr>
        <w:t>1</w:t>
      </w:r>
      <w:r w:rsidR="005A790F">
        <w:rPr>
          <w:color w:val="14415C" w:themeColor="accent3" w:themeShade="BF"/>
        </w:rPr>
        <w:t>9</w:t>
      </w:r>
      <w:r w:rsidR="00A604D9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5A790F" w:rsidRPr="00D1144D" w:rsidRDefault="005A790F" w:rsidP="005A790F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C00000"/>
          <w:sz w:val="22"/>
          <w:szCs w:val="22"/>
        </w:rPr>
      </w:pPr>
      <w:r w:rsidRPr="00D1144D">
        <w:rPr>
          <w:color w:val="C00000"/>
          <w:sz w:val="22"/>
          <w:szCs w:val="22"/>
        </w:rPr>
        <w:t xml:space="preserve">Colleague Maintenance Window </w:t>
      </w:r>
      <w:r w:rsidRPr="00D1144D">
        <w:rPr>
          <w:color w:val="C00000"/>
          <w:sz w:val="20"/>
          <w:szCs w:val="20"/>
        </w:rPr>
        <w:t>(Cory Brady)</w:t>
      </w:r>
      <w:r w:rsidRPr="00D1144D">
        <w:rPr>
          <w:color w:val="C00000"/>
          <w:sz w:val="22"/>
          <w:szCs w:val="22"/>
        </w:rPr>
        <w:t xml:space="preserve"> </w:t>
      </w:r>
    </w:p>
    <w:p w:rsidR="004C17EE" w:rsidRPr="00D1144D" w:rsidRDefault="005A790F" w:rsidP="004C17EE">
      <w:pPr>
        <w:pStyle w:val="ListParagraph"/>
        <w:spacing w:before="0" w:after="0"/>
        <w:rPr>
          <w:rFonts w:asciiTheme="majorHAnsi" w:hAnsiTheme="majorHAnsi"/>
          <w:color w:val="C00000"/>
          <w:sz w:val="20"/>
          <w:szCs w:val="20"/>
        </w:rPr>
      </w:pPr>
      <w:r w:rsidRPr="00D1144D">
        <w:rPr>
          <w:rFonts w:asciiTheme="majorHAnsi" w:hAnsiTheme="majorHAnsi"/>
          <w:color w:val="C00000"/>
          <w:sz w:val="20"/>
          <w:szCs w:val="20"/>
        </w:rPr>
        <w:sym w:font="Wingdings 2" w:char="F097"/>
      </w:r>
      <w:r w:rsidRPr="00D1144D">
        <w:rPr>
          <w:rFonts w:asciiTheme="majorHAnsi" w:hAnsiTheme="majorHAnsi"/>
          <w:color w:val="C00000"/>
          <w:sz w:val="20"/>
          <w:szCs w:val="20"/>
        </w:rPr>
        <w:t xml:space="preserve"> </w:t>
      </w:r>
      <w:r w:rsidR="006258DB" w:rsidRPr="00D1144D">
        <w:rPr>
          <w:rFonts w:asciiTheme="majorHAnsi" w:hAnsiTheme="majorHAnsi"/>
          <w:color w:val="C00000"/>
          <w:sz w:val="20"/>
          <w:szCs w:val="20"/>
        </w:rPr>
        <w:t xml:space="preserve">Extending - </w:t>
      </w:r>
      <w:r w:rsidRPr="00D1144D">
        <w:rPr>
          <w:rFonts w:asciiTheme="majorHAnsi" w:hAnsiTheme="majorHAnsi"/>
          <w:color w:val="C00000"/>
          <w:sz w:val="20"/>
          <w:szCs w:val="20"/>
        </w:rPr>
        <w:t>Sunday nights/Monday Mornings</w:t>
      </w:r>
    </w:p>
    <w:p w:rsidR="00B64D47" w:rsidRDefault="00B64D47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5A790F" w:rsidRDefault="005A790F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0A273E" w:rsidRPr="005D79F8" w:rsidRDefault="005A790F" w:rsidP="00B64D4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</w:t>
      </w:r>
      <w:r w:rsidR="00B64D47" w:rsidRPr="005D79F8">
        <w:rPr>
          <w:color w:val="14415C" w:themeColor="accent3" w:themeShade="BF"/>
          <w:sz w:val="22"/>
          <w:szCs w:val="22"/>
        </w:rPr>
        <w:t xml:space="preserve">. </w:t>
      </w:r>
      <w:r w:rsidR="00F37ADB" w:rsidRPr="005D79F8">
        <w:rPr>
          <w:color w:val="14415C" w:themeColor="accent3" w:themeShade="BF"/>
          <w:sz w:val="22"/>
          <w:szCs w:val="22"/>
        </w:rPr>
        <w:t xml:space="preserve">Financial Aid </w:t>
      </w:r>
      <w:r>
        <w:rPr>
          <w:color w:val="14415C" w:themeColor="accent3" w:themeShade="BF"/>
          <w:sz w:val="22"/>
          <w:szCs w:val="22"/>
        </w:rPr>
        <w:t>MIS Processing validation</w:t>
      </w:r>
      <w:r w:rsidR="00F3036E" w:rsidRPr="005D79F8">
        <w:rPr>
          <w:color w:val="14415C" w:themeColor="accent3" w:themeShade="BF"/>
          <w:sz w:val="22"/>
          <w:szCs w:val="22"/>
        </w:rPr>
        <w:t xml:space="preserve"> </w:t>
      </w:r>
      <w:r w:rsidR="00F37ADB" w:rsidRPr="00445AAF">
        <w:rPr>
          <w:color w:val="14415C" w:themeColor="accent3" w:themeShade="BF"/>
          <w:sz w:val="20"/>
          <w:szCs w:val="20"/>
        </w:rPr>
        <w:t>(</w:t>
      </w:r>
      <w:r w:rsidR="00636D0D" w:rsidRPr="00445AAF">
        <w:rPr>
          <w:color w:val="14415C" w:themeColor="accent3" w:themeShade="BF"/>
          <w:sz w:val="20"/>
          <w:szCs w:val="20"/>
        </w:rPr>
        <w:t>Cory Brady</w:t>
      </w:r>
      <w:r w:rsidR="00F37ADB" w:rsidRPr="00445AAF">
        <w:rPr>
          <w:color w:val="14415C" w:themeColor="accent3" w:themeShade="BF"/>
          <w:sz w:val="20"/>
          <w:szCs w:val="20"/>
        </w:rPr>
        <w:t>)</w:t>
      </w:r>
    </w:p>
    <w:p w:rsidR="00B64D47" w:rsidRDefault="00B64D47" w:rsidP="00A604D9">
      <w:pPr>
        <w:rPr>
          <w:rFonts w:asciiTheme="majorHAnsi" w:hAnsiTheme="majorHAnsi"/>
          <w:sz w:val="20"/>
          <w:szCs w:val="20"/>
        </w:rPr>
      </w:pPr>
    </w:p>
    <w:p w:rsidR="00666C4E" w:rsidRDefault="00666C4E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F37ADB" w:rsidRPr="00445AAF" w:rsidRDefault="005A790F" w:rsidP="00666C4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III</w:t>
      </w:r>
      <w:r w:rsidR="00666C4E">
        <w:rPr>
          <w:color w:val="14415C" w:themeColor="accent3" w:themeShade="BF"/>
          <w:sz w:val="22"/>
          <w:szCs w:val="22"/>
        </w:rPr>
        <w:t>.</w:t>
      </w:r>
      <w:r w:rsidR="00B64D47" w:rsidRP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 xml:space="preserve">DREG Automation </w:t>
      </w:r>
      <w:r w:rsidR="001B7C05" w:rsidRPr="00445AAF">
        <w:rPr>
          <w:color w:val="14415C" w:themeColor="accent3" w:themeShade="BF"/>
          <w:sz w:val="22"/>
          <w:szCs w:val="22"/>
        </w:rPr>
        <w:t>for</w:t>
      </w:r>
      <w:r w:rsidR="00636D0D" w:rsidRPr="00445AAF">
        <w:rPr>
          <w:color w:val="14415C" w:themeColor="accent3" w:themeShade="BF"/>
          <w:sz w:val="22"/>
          <w:szCs w:val="22"/>
        </w:rPr>
        <w:t xml:space="preserve"> “</w:t>
      </w:r>
      <w:r w:rsidR="00636D0D"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="00636D0D" w:rsidRPr="00445AAF">
        <w:rPr>
          <w:color w:val="14415C" w:themeColor="accent3" w:themeShade="BF"/>
          <w:sz w:val="22"/>
          <w:szCs w:val="22"/>
        </w:rPr>
        <w:t xml:space="preserve">” </w:t>
      </w:r>
      <w:r w:rsidR="005D79F8" w:rsidRPr="00445AAF">
        <w:rPr>
          <w:color w:val="14415C" w:themeColor="accent3" w:themeShade="BF"/>
          <w:sz w:val="22"/>
          <w:szCs w:val="22"/>
        </w:rPr>
        <w:t>–</w:t>
      </w:r>
      <w:r w:rsidR="00636D0D" w:rsidRPr="00445AAF">
        <w:rPr>
          <w:color w:val="14415C" w:themeColor="accent3" w:themeShade="BF"/>
          <w:sz w:val="22"/>
          <w:szCs w:val="22"/>
        </w:rPr>
        <w:t xml:space="preserve"> XPRR</w:t>
      </w:r>
      <w:r w:rsidR="005D79F8" w:rsidRPr="00445AAF">
        <w:rPr>
          <w:color w:val="14415C" w:themeColor="accent3" w:themeShade="BF"/>
          <w:sz w:val="22"/>
          <w:szCs w:val="22"/>
        </w:rPr>
        <w:t>/</w:t>
      </w:r>
      <w:r w:rsidR="00636D0D" w:rsidRPr="00445AAF">
        <w:rPr>
          <w:color w:val="14415C" w:themeColor="accent3" w:themeShade="BF"/>
          <w:sz w:val="22"/>
          <w:szCs w:val="22"/>
        </w:rPr>
        <w:t>RQMM</w:t>
      </w:r>
      <w:r w:rsid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>(</w:t>
      </w:r>
      <w:r w:rsidR="00636D0D" w:rsidRPr="00445AAF">
        <w:rPr>
          <w:color w:val="14415C" w:themeColor="accent3" w:themeShade="BF"/>
          <w:sz w:val="18"/>
          <w:szCs w:val="18"/>
        </w:rPr>
        <w:t>Special Project/</w:t>
      </w:r>
      <w:r w:rsidR="0052501A">
        <w:rPr>
          <w:color w:val="14415C" w:themeColor="accent3" w:themeShade="BF"/>
          <w:sz w:val="18"/>
          <w:szCs w:val="18"/>
        </w:rPr>
        <w:t>Joyce Bond</w:t>
      </w:r>
      <w:r w:rsidR="00636D0D" w:rsidRPr="00445AAF">
        <w:rPr>
          <w:color w:val="14415C" w:themeColor="accent3" w:themeShade="BF"/>
          <w:sz w:val="18"/>
          <w:szCs w:val="18"/>
        </w:rPr>
        <w:t>)</w:t>
      </w:r>
    </w:p>
    <w:p w:rsidR="00666C4E" w:rsidRDefault="00666C4E" w:rsidP="00666C4E">
      <w:pPr>
        <w:spacing w:before="0"/>
        <w:rPr>
          <w:rFonts w:asciiTheme="majorHAnsi" w:hAnsiTheme="majorHAnsi"/>
          <w:color w:val="002060"/>
          <w:sz w:val="22"/>
          <w:szCs w:val="22"/>
        </w:rPr>
      </w:pPr>
      <w:r w:rsidRPr="006258DB">
        <w:rPr>
          <w:rFonts w:asciiTheme="majorHAnsi" w:hAnsiTheme="majorHAnsi"/>
          <w:color w:val="002060"/>
          <w:sz w:val="22"/>
          <w:szCs w:val="22"/>
        </w:rPr>
        <w:t xml:space="preserve">       </w:t>
      </w:r>
      <w:r w:rsidR="006258DB">
        <w:rPr>
          <w:rFonts w:asciiTheme="majorHAnsi" w:hAnsiTheme="majorHAnsi"/>
          <w:color w:val="002060"/>
          <w:sz w:val="22"/>
          <w:szCs w:val="22"/>
        </w:rPr>
        <w:tab/>
      </w:r>
      <w:r w:rsidRPr="006258DB">
        <w:rPr>
          <w:color w:val="002060"/>
        </w:rPr>
        <w:sym w:font="Wingdings 2" w:char="F097"/>
      </w:r>
      <w:r w:rsidRPr="006258DB">
        <w:rPr>
          <w:rFonts w:asciiTheme="majorHAnsi" w:hAnsiTheme="majorHAnsi"/>
          <w:color w:val="002060"/>
          <w:sz w:val="22"/>
          <w:szCs w:val="22"/>
        </w:rPr>
        <w:t xml:space="preserve"> </w:t>
      </w:r>
      <w:r w:rsidRPr="00666C4E">
        <w:rPr>
          <w:rFonts w:asciiTheme="majorHAnsi" w:hAnsiTheme="majorHAnsi"/>
          <w:color w:val="002060"/>
          <w:sz w:val="22"/>
          <w:szCs w:val="22"/>
        </w:rPr>
        <w:t xml:space="preserve">Status </w:t>
      </w:r>
    </w:p>
    <w:p w:rsidR="00356C2B" w:rsidRPr="00666C4E" w:rsidRDefault="00356C2B" w:rsidP="00666C4E">
      <w:pPr>
        <w:spacing w:before="0"/>
        <w:rPr>
          <w:color w:val="002060"/>
          <w:sz w:val="22"/>
          <w:szCs w:val="22"/>
        </w:rPr>
      </w:pPr>
    </w:p>
    <w:p w:rsidR="00D24A20" w:rsidRPr="005A790F" w:rsidRDefault="006258DB" w:rsidP="00D24A20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IV</w:t>
      </w:r>
      <w:r w:rsidR="00D24A20" w:rsidRPr="005A790F">
        <w:rPr>
          <w:color w:val="002060"/>
          <w:sz w:val="22"/>
          <w:szCs w:val="22"/>
        </w:rPr>
        <w:t>. WebAdvisor Surveys (</w:t>
      </w:r>
      <w:r w:rsidR="00D24A20" w:rsidRPr="005A790F">
        <w:rPr>
          <w:color w:val="002060"/>
          <w:sz w:val="18"/>
          <w:szCs w:val="18"/>
        </w:rPr>
        <w:t>Special Project/Michael Aquino</w:t>
      </w:r>
      <w:r w:rsidR="002A2D1E" w:rsidRPr="005A790F">
        <w:rPr>
          <w:color w:val="002060"/>
          <w:sz w:val="18"/>
          <w:szCs w:val="18"/>
        </w:rPr>
        <w:t>/Jason Brady</w:t>
      </w:r>
      <w:r w:rsidR="00D24A20" w:rsidRPr="005A790F">
        <w:rPr>
          <w:color w:val="002060"/>
          <w:sz w:val="18"/>
          <w:szCs w:val="18"/>
        </w:rPr>
        <w:t>)</w:t>
      </w:r>
    </w:p>
    <w:p w:rsidR="00356C2B" w:rsidRDefault="00D24A20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 </w:t>
      </w:r>
    </w:p>
    <w:p w:rsidR="00D24A20" w:rsidRDefault="00D24A20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 </w:t>
      </w:r>
    </w:p>
    <w:p w:rsidR="0070177A" w:rsidRPr="005A790F" w:rsidRDefault="0070177A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V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Residency Codes &amp; AB540</w:t>
      </w:r>
      <w:r w:rsidRPr="005A790F">
        <w:rPr>
          <w:color w:val="002060"/>
          <w:sz w:val="22"/>
          <w:szCs w:val="22"/>
        </w:rPr>
        <w:t xml:space="preserve"> (</w:t>
      </w:r>
      <w:r>
        <w:rPr>
          <w:color w:val="002060"/>
          <w:sz w:val="18"/>
          <w:szCs w:val="18"/>
        </w:rPr>
        <w:t>Larry Aycock/April Dale-Carter</w:t>
      </w:r>
      <w:r w:rsidRPr="005A790F">
        <w:rPr>
          <w:color w:val="002060"/>
          <w:sz w:val="18"/>
          <w:szCs w:val="18"/>
        </w:rPr>
        <w:t>)</w:t>
      </w:r>
    </w:p>
    <w:p w:rsidR="0070177A" w:rsidRDefault="0070177A" w:rsidP="00B84E36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356C2B" w:rsidRDefault="00356C2B" w:rsidP="00B84E36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5A790F" w:rsidRPr="005D79F8" w:rsidRDefault="0070177A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 xml:space="preserve">VI. </w:t>
      </w:r>
      <w:r w:rsidR="005A790F" w:rsidRPr="005D79F8">
        <w:rPr>
          <w:color w:val="14415C" w:themeColor="accent3" w:themeShade="BF"/>
          <w:sz w:val="22"/>
          <w:szCs w:val="22"/>
        </w:rPr>
        <w:t xml:space="preserve">EPI Steering Committee </w:t>
      </w:r>
      <w:r w:rsidR="005A790F" w:rsidRPr="00B84E36">
        <w:rPr>
          <w:color w:val="14415C" w:themeColor="accent3" w:themeShade="BF"/>
          <w:sz w:val="20"/>
          <w:szCs w:val="20"/>
        </w:rPr>
        <w:t>(Ben Mudgett/Ailsa Aguilar-Kitibutr/Andy Chang)</w:t>
      </w:r>
      <w:r w:rsidR="005A790F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5A790F" w:rsidRPr="006258DB" w:rsidRDefault="006258DB" w:rsidP="006258DB">
      <w:pPr>
        <w:spacing w:before="0" w:after="0"/>
        <w:ind w:firstLine="648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sym w:font="Wingdings 2" w:char="F097"/>
      </w: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</w:t>
      </w:r>
      <w:r w:rsidR="005A790F" w:rsidRPr="006258DB">
        <w:rPr>
          <w:rFonts w:asciiTheme="majorHAnsi" w:hAnsiTheme="majorHAnsi"/>
          <w:color w:val="14415C" w:themeColor="accent3" w:themeShade="BF"/>
          <w:sz w:val="20"/>
          <w:szCs w:val="20"/>
        </w:rPr>
        <w:t>MOU status</w:t>
      </w:r>
    </w:p>
    <w:p w:rsidR="005A790F" w:rsidRDefault="005A790F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5A790F" w:rsidRPr="00445AAF" w:rsidRDefault="0070177A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VII. </w:t>
      </w:r>
      <w:r w:rsidR="005A790F">
        <w:rPr>
          <w:color w:val="002060"/>
          <w:sz w:val="22"/>
          <w:szCs w:val="22"/>
        </w:rPr>
        <w:t xml:space="preserve">DAWG-PUP Discussions </w:t>
      </w:r>
      <w:r w:rsidR="005A790F" w:rsidRPr="00445AAF">
        <w:rPr>
          <w:color w:val="002060"/>
          <w:sz w:val="22"/>
          <w:szCs w:val="22"/>
        </w:rPr>
        <w:t xml:space="preserve">– </w:t>
      </w:r>
      <w:r w:rsidR="005A790F">
        <w:rPr>
          <w:color w:val="002060"/>
          <w:sz w:val="22"/>
          <w:szCs w:val="22"/>
        </w:rPr>
        <w:t xml:space="preserve">Degree Audit   </w:t>
      </w:r>
      <w:r w:rsidR="005A790F" w:rsidRPr="00B84E36">
        <w:rPr>
          <w:color w:val="002060"/>
          <w:sz w:val="20"/>
          <w:szCs w:val="20"/>
        </w:rPr>
        <w:t>(</w:t>
      </w:r>
      <w:r w:rsidR="005A790F">
        <w:rPr>
          <w:color w:val="002060"/>
          <w:sz w:val="20"/>
          <w:szCs w:val="20"/>
        </w:rPr>
        <w:t>Ben Mudgett</w:t>
      </w:r>
      <w:r w:rsidR="005A790F" w:rsidRPr="00B84E36">
        <w:rPr>
          <w:color w:val="002060"/>
          <w:sz w:val="20"/>
          <w:szCs w:val="20"/>
        </w:rPr>
        <w:t>)</w:t>
      </w:r>
    </w:p>
    <w:p w:rsidR="005A790F" w:rsidRPr="005A790F" w:rsidRDefault="006258DB" w:rsidP="005A790F">
      <w:pPr>
        <w:spacing w:before="0" w:after="0"/>
        <w:ind w:firstLine="648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sym w:font="Wingdings 2" w:char="F097"/>
      </w: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</w:t>
      </w:r>
      <w:r w:rsidR="005A790F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Training </w:t>
      </w:r>
      <w:r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for SBVC Evaluators </w:t>
      </w:r>
      <w:r w:rsidR="005A790F">
        <w:rPr>
          <w:rFonts w:asciiTheme="majorHAnsi" w:hAnsiTheme="majorHAnsi"/>
          <w:color w:val="14415C" w:themeColor="accent3" w:themeShade="BF"/>
          <w:sz w:val="20"/>
          <w:szCs w:val="20"/>
        </w:rPr>
        <w:t>on entering Transfer Work</w:t>
      </w:r>
    </w:p>
    <w:p w:rsidR="00B64D47" w:rsidRDefault="00B64D47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6258DB" w:rsidRPr="00445AAF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  <w:r w:rsidR="00356C2B" w:rsidRPr="00356C2B">
        <w:rPr>
          <w:color w:val="14415C" w:themeColor="accent3" w:themeShade="BF"/>
          <w:sz w:val="18"/>
          <w:szCs w:val="18"/>
        </w:rPr>
        <w:t>(April Dale-Carter)</w:t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</w:p>
    <w:p w:rsidR="00356C2B" w:rsidRPr="00D1144D" w:rsidRDefault="00356C2B" w:rsidP="00356C2B">
      <w:pPr>
        <w:pStyle w:val="ListParagraph"/>
        <w:numPr>
          <w:ilvl w:val="0"/>
          <w:numId w:val="26"/>
        </w:numPr>
        <w:spacing w:before="0" w:after="0"/>
        <w:ind w:left="540" w:hanging="270"/>
        <w:contextualSpacing w:val="0"/>
        <w:rPr>
          <w:color w:val="C00000"/>
          <w:sz w:val="24"/>
          <w:szCs w:val="24"/>
        </w:rPr>
      </w:pPr>
      <w:r w:rsidRPr="00D1144D">
        <w:rPr>
          <w:color w:val="C00000"/>
        </w:rPr>
        <w:t>Student center fee: can we discuss the possibility of a flat rate of $10 per year?</w:t>
      </w:r>
    </w:p>
    <w:p w:rsidR="00356C2B" w:rsidRPr="00D1144D" w:rsidRDefault="00356C2B" w:rsidP="00356C2B">
      <w:pPr>
        <w:pStyle w:val="ListParagraph"/>
        <w:numPr>
          <w:ilvl w:val="0"/>
          <w:numId w:val="26"/>
        </w:numPr>
        <w:spacing w:before="0" w:after="0"/>
        <w:ind w:left="540" w:hanging="270"/>
        <w:contextualSpacing w:val="0"/>
        <w:rPr>
          <w:color w:val="C00000"/>
        </w:rPr>
      </w:pPr>
      <w:r w:rsidRPr="00D1144D">
        <w:rPr>
          <w:color w:val="C00000"/>
        </w:rPr>
        <w:t xml:space="preserve">Student being dropped from all their courses incorrectly after adding an additional courses and failing to pay for that course, which has caused a student to be dropped from all courses. </w:t>
      </w:r>
    </w:p>
    <w:p w:rsidR="00356C2B" w:rsidRPr="00D1144D" w:rsidRDefault="00356C2B" w:rsidP="00356C2B">
      <w:pPr>
        <w:pStyle w:val="ListParagraph"/>
        <w:numPr>
          <w:ilvl w:val="0"/>
          <w:numId w:val="26"/>
        </w:numPr>
        <w:spacing w:before="0" w:after="0"/>
        <w:ind w:left="540" w:hanging="270"/>
        <w:contextualSpacing w:val="0"/>
        <w:rPr>
          <w:color w:val="C00000"/>
        </w:rPr>
      </w:pPr>
      <w:r w:rsidRPr="00D1144D">
        <w:rPr>
          <w:color w:val="C00000"/>
        </w:rPr>
        <w:t>ASB question: Has a rule been established or entered that prevents students from being dropped if they owe ASB fee only?</w:t>
      </w:r>
    </w:p>
    <w:p w:rsidR="00356C2B" w:rsidRPr="00D1144D" w:rsidRDefault="00356C2B" w:rsidP="00356C2B">
      <w:pPr>
        <w:pStyle w:val="ListParagraph"/>
        <w:numPr>
          <w:ilvl w:val="0"/>
          <w:numId w:val="26"/>
        </w:numPr>
        <w:spacing w:before="0" w:after="0"/>
        <w:ind w:left="540" w:hanging="270"/>
        <w:contextualSpacing w:val="0"/>
        <w:rPr>
          <w:color w:val="C00000"/>
        </w:rPr>
      </w:pPr>
      <w:r w:rsidRPr="00D1144D">
        <w:rPr>
          <w:color w:val="C00000"/>
        </w:rPr>
        <w:t xml:space="preserve">Creating a, No show drop code for instructors to use when dropping their student on or before census. </w:t>
      </w: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  <w:bookmarkStart w:id="0" w:name="_GoBack"/>
      <w:bookmarkEnd w:id="0"/>
    </w:p>
    <w:p w:rsidR="005A790F" w:rsidRPr="00445AAF" w:rsidRDefault="005A790F" w:rsidP="005A790F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Pending</w:t>
      </w:r>
      <w:r w:rsidR="006258DB">
        <w:rPr>
          <w:color w:val="14415C" w:themeColor="accent3" w:themeShade="BF"/>
          <w:sz w:val="22"/>
          <w:szCs w:val="22"/>
        </w:rPr>
        <w:t xml:space="preserve"> </w:t>
      </w:r>
      <w:r w:rsidRPr="00445AAF">
        <w:rPr>
          <w:color w:val="14415C" w:themeColor="accent3" w:themeShade="BF"/>
          <w:sz w:val="22"/>
          <w:szCs w:val="22"/>
        </w:rPr>
        <w:t>Items</w:t>
      </w:r>
      <w:r w:rsidR="006258DB">
        <w:rPr>
          <w:color w:val="14415C" w:themeColor="accent3" w:themeShade="BF"/>
          <w:sz w:val="22"/>
          <w:szCs w:val="22"/>
        </w:rPr>
        <w:t xml:space="preserve"> on-hold:</w:t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  <w:r w:rsidRPr="00445AAF">
        <w:rPr>
          <w:color w:val="14415C" w:themeColor="accent3" w:themeShade="BF"/>
          <w:sz w:val="22"/>
          <w:szCs w:val="22"/>
        </w:rPr>
        <w:tab/>
      </w:r>
    </w:p>
    <w:p w:rsidR="005A790F" w:rsidRPr="006258DB" w:rsidRDefault="005A790F" w:rsidP="005A790F">
      <w:pPr>
        <w:spacing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Mobile Application – Define procedures for sending mobile notifications (Requested by TESS Executive)</w:t>
      </w:r>
    </w:p>
    <w:p w:rsidR="005A790F" w:rsidRPr="006258DB" w:rsidRDefault="005A790F" w:rsidP="005A790F">
      <w:pPr>
        <w:spacing w:before="0" w:after="12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 Pending </w:t>
      </w:r>
      <w:r w:rsid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involvement of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SBVC new</w:t>
      </w:r>
      <w:r w:rsid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Marketing Director.</w:t>
      </w:r>
    </w:p>
    <w:p w:rsidR="005A790F" w:rsidRPr="006258DB" w:rsidRDefault="005A790F" w:rsidP="005A790F">
      <w:pPr>
        <w:spacing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Academic Program – Allow Only 1 active program, per College (Requested by Amber Gallagher)</w:t>
      </w:r>
    </w:p>
    <w:p w:rsidR="005A790F" w:rsidRPr="006258DB" w:rsidRDefault="005A790F" w:rsidP="005A790F">
      <w:pPr>
        <w:spacing w:before="0" w:after="12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Pending CHC Academic Senate response – Joe Cabrales will follow-up with Denise in September.</w:t>
      </w:r>
    </w:p>
    <w:p w:rsidR="005A790F" w:rsidRPr="006258DB" w:rsidRDefault="005A790F" w:rsidP="005A790F">
      <w:pPr>
        <w:spacing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Colleague UI Grey Screen Conversion Project </w:t>
      </w:r>
    </w:p>
    <w:p w:rsidR="006258DB" w:rsidRPr="00820B44" w:rsidRDefault="005A790F" w:rsidP="006258DB">
      <w:pPr>
        <w:spacing w:before="0" w:after="120"/>
        <w:rPr>
          <w:rFonts w:asciiTheme="majorHAnsi" w:hAnsiTheme="majorHAnsi"/>
          <w:color w:val="C00000"/>
          <w:sz w:val="20"/>
          <w:szCs w:val="20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Pending resource assignment</w:t>
      </w:r>
    </w:p>
    <w:sectPr w:rsidR="006258DB" w:rsidRPr="00820B44" w:rsidSect="00F3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6C2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22"/>
  </w:num>
  <w:num w:numId="14">
    <w:abstractNumId w:val="13"/>
  </w:num>
  <w:num w:numId="15">
    <w:abstractNumId w:val="21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14"/>
  </w:num>
  <w:num w:numId="22">
    <w:abstractNumId w:val="18"/>
  </w:num>
  <w:num w:numId="23">
    <w:abstractNumId w:val="12"/>
  </w:num>
  <w:num w:numId="24">
    <w:abstractNumId w:val="20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9719D"/>
    <w:rsid w:val="001B7C05"/>
    <w:rsid w:val="00212D03"/>
    <w:rsid w:val="002771E2"/>
    <w:rsid w:val="002A2D1E"/>
    <w:rsid w:val="00322A19"/>
    <w:rsid w:val="00356C2B"/>
    <w:rsid w:val="00366708"/>
    <w:rsid w:val="003A5442"/>
    <w:rsid w:val="003C7719"/>
    <w:rsid w:val="003F1156"/>
    <w:rsid w:val="00445AAF"/>
    <w:rsid w:val="00497EC3"/>
    <w:rsid w:val="004C17EE"/>
    <w:rsid w:val="0052501A"/>
    <w:rsid w:val="0054734D"/>
    <w:rsid w:val="005A790F"/>
    <w:rsid w:val="005D4B87"/>
    <w:rsid w:val="005D79F8"/>
    <w:rsid w:val="006258DB"/>
    <w:rsid w:val="00636D0D"/>
    <w:rsid w:val="006415C3"/>
    <w:rsid w:val="00666C4E"/>
    <w:rsid w:val="006D27AD"/>
    <w:rsid w:val="006F5DDC"/>
    <w:rsid w:val="006F7277"/>
    <w:rsid w:val="0070177A"/>
    <w:rsid w:val="007577CF"/>
    <w:rsid w:val="007B4C62"/>
    <w:rsid w:val="007C6254"/>
    <w:rsid w:val="00820B44"/>
    <w:rsid w:val="00845100"/>
    <w:rsid w:val="008A2883"/>
    <w:rsid w:val="0096183F"/>
    <w:rsid w:val="009823F7"/>
    <w:rsid w:val="009D7C7B"/>
    <w:rsid w:val="00A604D9"/>
    <w:rsid w:val="00A80F05"/>
    <w:rsid w:val="00AD4DFD"/>
    <w:rsid w:val="00AF0845"/>
    <w:rsid w:val="00B64D47"/>
    <w:rsid w:val="00B73FCB"/>
    <w:rsid w:val="00B84E36"/>
    <w:rsid w:val="00C90E57"/>
    <w:rsid w:val="00CC2657"/>
    <w:rsid w:val="00D1144D"/>
    <w:rsid w:val="00D24A20"/>
    <w:rsid w:val="00D37031"/>
    <w:rsid w:val="00DA1F71"/>
    <w:rsid w:val="00DE0BDC"/>
    <w:rsid w:val="00E3167C"/>
    <w:rsid w:val="00E90F79"/>
    <w:rsid w:val="00E93872"/>
    <w:rsid w:val="00EC44F1"/>
    <w:rsid w:val="00F3036E"/>
    <w:rsid w:val="00F37ADB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7</cp:revision>
  <cp:lastPrinted>2015-08-12T20:41:00Z</cp:lastPrinted>
  <dcterms:created xsi:type="dcterms:W3CDTF">2015-08-17T18:16:00Z</dcterms:created>
  <dcterms:modified xsi:type="dcterms:W3CDTF">2015-08-19T18:01:00Z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