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2778D4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984A8F">
        <w:rPr>
          <w:color w:val="14415C" w:themeColor="accent3" w:themeShade="BF"/>
        </w:rPr>
        <w:t>Octo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984A8F">
        <w:rPr>
          <w:color w:val="14415C" w:themeColor="accent3" w:themeShade="BF"/>
        </w:rPr>
        <w:t>7</w:t>
      </w:r>
      <w:r w:rsidR="00984A8F" w:rsidRPr="00984A8F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EB5492" w:rsidRDefault="00EB5492" w:rsidP="00F3036E">
      <w:pPr>
        <w:spacing w:before="0" w:after="0"/>
        <w:ind w:left="5112" w:firstLine="648"/>
        <w:rPr>
          <w:color w:val="14415C" w:themeColor="accent3" w:themeShade="BF"/>
        </w:rPr>
      </w:pP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984A8F" w:rsidRPr="00445AAF" w:rsidRDefault="00984A8F" w:rsidP="00984A8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I.</w:t>
      </w:r>
      <w:r w:rsidRPr="00445AAF">
        <w:rPr>
          <w:color w:val="14415C" w:themeColor="accent3" w:themeShade="BF"/>
          <w:sz w:val="22"/>
          <w:szCs w:val="22"/>
        </w:rPr>
        <w:t xml:space="preserve"> DREG Automation for “</w:t>
      </w:r>
      <w:r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Pr="00445AAF">
        <w:rPr>
          <w:color w:val="14415C" w:themeColor="accent3" w:themeShade="BF"/>
          <w:sz w:val="22"/>
          <w:szCs w:val="22"/>
        </w:rPr>
        <w:t>” – X</w:t>
      </w:r>
      <w:r>
        <w:rPr>
          <w:color w:val="14415C" w:themeColor="accent3" w:themeShade="BF"/>
          <w:sz w:val="22"/>
          <w:szCs w:val="22"/>
        </w:rPr>
        <w:t xml:space="preserve">RGVE </w:t>
      </w:r>
      <w:r w:rsidRPr="00445AAF">
        <w:rPr>
          <w:color w:val="14415C" w:themeColor="accent3" w:themeShade="BF"/>
          <w:sz w:val="22"/>
          <w:szCs w:val="22"/>
        </w:rPr>
        <w:t>(</w:t>
      </w:r>
      <w:r w:rsidRPr="00445AAF">
        <w:rPr>
          <w:color w:val="14415C" w:themeColor="accent3" w:themeShade="BF"/>
          <w:sz w:val="18"/>
          <w:szCs w:val="18"/>
        </w:rPr>
        <w:t>Special Project/</w:t>
      </w:r>
      <w:r>
        <w:rPr>
          <w:color w:val="14415C" w:themeColor="accent3" w:themeShade="BF"/>
          <w:sz w:val="18"/>
          <w:szCs w:val="18"/>
        </w:rPr>
        <w:t>Joyce Bond</w:t>
      </w:r>
      <w:r w:rsidRPr="00445AAF">
        <w:rPr>
          <w:color w:val="14415C" w:themeColor="accent3" w:themeShade="BF"/>
          <w:sz w:val="18"/>
          <w:szCs w:val="18"/>
        </w:rPr>
        <w:t>)</w:t>
      </w:r>
    </w:p>
    <w:p w:rsidR="004B58C7" w:rsidRDefault="000B437A" w:rsidP="00666C4E">
      <w:pPr>
        <w:spacing w:before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</w:t>
      </w:r>
    </w:p>
    <w:p w:rsidR="000B437A" w:rsidRDefault="000B437A" w:rsidP="00666C4E">
      <w:pPr>
        <w:spacing w:before="0"/>
        <w:rPr>
          <w:color w:val="002060"/>
          <w:sz w:val="22"/>
          <w:szCs w:val="22"/>
        </w:rPr>
      </w:pPr>
    </w:p>
    <w:p w:rsidR="005A5484" w:rsidRDefault="00D24A20" w:rsidP="004A73B3">
      <w:pPr>
        <w:spacing w:before="0" w:after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</w:t>
      </w:r>
    </w:p>
    <w:p w:rsidR="004A73B3" w:rsidRDefault="004A73B3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Posting Military Credit - Review</w:t>
      </w:r>
      <w:r w:rsidRPr="005A790F">
        <w:rPr>
          <w:color w:val="002060"/>
          <w:sz w:val="22"/>
          <w:szCs w:val="22"/>
        </w:rPr>
        <w:t xml:space="preserve"> (</w:t>
      </w:r>
      <w:r>
        <w:rPr>
          <w:color w:val="002060"/>
          <w:sz w:val="18"/>
          <w:szCs w:val="18"/>
        </w:rPr>
        <w:t>Larry Aycock</w:t>
      </w:r>
      <w:r w:rsidRPr="005A790F">
        <w:rPr>
          <w:color w:val="002060"/>
          <w:sz w:val="18"/>
          <w:szCs w:val="18"/>
        </w:rPr>
        <w:t>)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B873C4" w:rsidRDefault="00B87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A790F" w:rsidRDefault="004A73B3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33C7A">
        <w:rPr>
          <w:color w:val="14415C" w:themeColor="accent3" w:themeShade="BF"/>
          <w:sz w:val="22"/>
          <w:szCs w:val="22"/>
        </w:rPr>
        <w:t>II</w:t>
      </w:r>
      <w:r>
        <w:rPr>
          <w:color w:val="14415C" w:themeColor="accent3" w:themeShade="BF"/>
          <w:sz w:val="22"/>
          <w:szCs w:val="22"/>
        </w:rPr>
        <w:t xml:space="preserve">. Mobile Application – </w:t>
      </w:r>
      <w:r>
        <w:rPr>
          <w:color w:val="002060"/>
          <w:sz w:val="22"/>
          <w:szCs w:val="22"/>
        </w:rPr>
        <w:t xml:space="preserve">Define procedures for sending mobile notifications </w:t>
      </w:r>
      <w:r w:rsidRPr="005A5484">
        <w:rPr>
          <w:color w:val="002060"/>
          <w:sz w:val="18"/>
          <w:szCs w:val="18"/>
        </w:rPr>
        <w:t>(TESS Exec</w:t>
      </w:r>
      <w:r>
        <w:rPr>
          <w:color w:val="002060"/>
          <w:sz w:val="18"/>
          <w:szCs w:val="18"/>
        </w:rPr>
        <w:t>utive</w:t>
      </w:r>
      <w:r w:rsidRPr="005A5484">
        <w:rPr>
          <w:color w:val="002060"/>
          <w:sz w:val="18"/>
          <w:szCs w:val="18"/>
        </w:rPr>
        <w:t>)</w:t>
      </w:r>
    </w:p>
    <w:p w:rsidR="004A73B3" w:rsidRPr="006258DB" w:rsidRDefault="004A73B3" w:rsidP="004A73B3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C975A0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Requires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input of Marketing Directors, </w:t>
      </w:r>
      <w:r w:rsidRPr="005A5484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Donna Hoffman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&amp; </w:t>
      </w:r>
      <w:r w:rsidRPr="005A5484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Paul Bratulin</w:t>
      </w: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D79F8" w:rsidRDefault="00433C7A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>V. DAWG PUP Discussions</w:t>
      </w:r>
      <w:r w:rsidR="004A73B3" w:rsidRPr="005D79F8">
        <w:rPr>
          <w:color w:val="14415C" w:themeColor="accent3" w:themeShade="BF"/>
          <w:sz w:val="22"/>
          <w:szCs w:val="22"/>
        </w:rPr>
        <w:t xml:space="preserve"> </w:t>
      </w:r>
      <w:r w:rsidR="004A73B3">
        <w:rPr>
          <w:color w:val="14415C" w:themeColor="accent3" w:themeShade="BF"/>
          <w:sz w:val="22"/>
          <w:szCs w:val="22"/>
        </w:rPr>
        <w:t xml:space="preserve">– Degree Audit </w:t>
      </w:r>
      <w:r w:rsidR="004A73B3" w:rsidRPr="00B84E36">
        <w:rPr>
          <w:color w:val="14415C" w:themeColor="accent3" w:themeShade="BF"/>
          <w:sz w:val="20"/>
          <w:szCs w:val="20"/>
        </w:rPr>
        <w:t>(</w:t>
      </w:r>
      <w:r w:rsidR="004A73B3" w:rsidRPr="004A73B3">
        <w:rPr>
          <w:color w:val="14415C" w:themeColor="accent3" w:themeShade="BF"/>
          <w:sz w:val="18"/>
          <w:szCs w:val="18"/>
        </w:rPr>
        <w:t>Ben Mudgett</w:t>
      </w:r>
      <w:r w:rsidR="004A73B3" w:rsidRPr="00B84E36">
        <w:rPr>
          <w:color w:val="14415C" w:themeColor="accent3" w:themeShade="BF"/>
          <w:sz w:val="20"/>
          <w:szCs w:val="20"/>
        </w:rPr>
        <w:t>)</w:t>
      </w:r>
      <w:r w:rsidR="004A73B3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5A790F" w:rsidRPr="005D79F8" w:rsidRDefault="00AB6A12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70177A">
        <w:rPr>
          <w:color w:val="14415C" w:themeColor="accent3" w:themeShade="BF"/>
          <w:sz w:val="22"/>
          <w:szCs w:val="22"/>
        </w:rPr>
        <w:t xml:space="preserve">. </w:t>
      </w:r>
      <w:r w:rsidR="005A790F" w:rsidRPr="005D79F8">
        <w:rPr>
          <w:color w:val="14415C" w:themeColor="accent3" w:themeShade="BF"/>
          <w:sz w:val="22"/>
          <w:szCs w:val="22"/>
        </w:rPr>
        <w:t xml:space="preserve">EPI Steering Committee </w:t>
      </w:r>
      <w:r w:rsidR="003748D5">
        <w:rPr>
          <w:color w:val="14415C" w:themeColor="accent3" w:themeShade="BF"/>
          <w:sz w:val="22"/>
          <w:szCs w:val="22"/>
        </w:rPr>
        <w:t xml:space="preserve">– Status </w:t>
      </w:r>
      <w:r w:rsidR="005A790F" w:rsidRPr="00B84E36">
        <w:rPr>
          <w:color w:val="14415C" w:themeColor="accent3" w:themeShade="BF"/>
          <w:sz w:val="20"/>
          <w:szCs w:val="20"/>
        </w:rPr>
        <w:t>(</w:t>
      </w:r>
      <w:r w:rsidR="005A790F" w:rsidRPr="00AB6A12">
        <w:rPr>
          <w:color w:val="14415C" w:themeColor="accent3" w:themeShade="BF"/>
          <w:sz w:val="16"/>
          <w:szCs w:val="16"/>
        </w:rPr>
        <w:t>Ben Mudgett/Ailsa Aguilar-Kitibutr/Andy Chang</w:t>
      </w:r>
      <w:r w:rsidR="00EB5492" w:rsidRPr="00AB6A12">
        <w:rPr>
          <w:color w:val="14415C" w:themeColor="accent3" w:themeShade="BF"/>
          <w:sz w:val="16"/>
          <w:szCs w:val="16"/>
        </w:rPr>
        <w:t>/Robert McAtee</w:t>
      </w:r>
      <w:r w:rsidR="005A790F" w:rsidRPr="00B84E36">
        <w:rPr>
          <w:color w:val="14415C" w:themeColor="accent3" w:themeShade="BF"/>
          <w:sz w:val="20"/>
          <w:szCs w:val="20"/>
        </w:rPr>
        <w:t>)</w:t>
      </w:r>
      <w:r w:rsidR="005A790F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5A790F" w:rsidRDefault="005A790F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3748D5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873C4" w:rsidRDefault="00B873C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2778D4" w:rsidRDefault="002778D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  <w:bookmarkStart w:id="0" w:name="_GoBack"/>
      <w:bookmarkEnd w:id="0"/>
    </w:p>
    <w:p w:rsidR="00C975A0" w:rsidRDefault="00C975A0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  <w:r w:rsidR="000B437A" w:rsidRPr="000B437A">
        <w:rPr>
          <w:color w:val="14415C" w:themeColor="accent3" w:themeShade="BF"/>
          <w:sz w:val="18"/>
          <w:szCs w:val="18"/>
        </w:rPr>
        <w:t>(April Dale-Carter)</w:t>
      </w:r>
    </w:p>
    <w:p w:rsidR="000B437A" w:rsidRPr="000B437A" w:rsidRDefault="000B437A" w:rsidP="000B437A">
      <w:pPr>
        <w:pStyle w:val="ListParagraph"/>
        <w:numPr>
          <w:ilvl w:val="0"/>
          <w:numId w:val="27"/>
        </w:numPr>
        <w:spacing w:before="0" w:after="0"/>
        <w:ind w:left="540" w:hanging="270"/>
        <w:contextualSpacing w:val="0"/>
        <w:rPr>
          <w:color w:val="002060"/>
          <w:sz w:val="20"/>
          <w:szCs w:val="20"/>
        </w:rPr>
      </w:pPr>
      <w:r w:rsidRPr="000B437A">
        <w:rPr>
          <w:color w:val="002060"/>
          <w:sz w:val="20"/>
          <w:szCs w:val="20"/>
        </w:rPr>
        <w:t xml:space="preserve">How the stack courses Kinesiology for example displays in </w:t>
      </w:r>
      <w:proofErr w:type="spellStart"/>
      <w:r w:rsidRPr="000B437A">
        <w:rPr>
          <w:color w:val="002060"/>
          <w:sz w:val="20"/>
          <w:szCs w:val="20"/>
        </w:rPr>
        <w:t>webadvisor</w:t>
      </w:r>
      <w:proofErr w:type="spellEnd"/>
      <w:r w:rsidRPr="000B437A">
        <w:rPr>
          <w:color w:val="002060"/>
          <w:sz w:val="20"/>
          <w:szCs w:val="20"/>
        </w:rPr>
        <w:t xml:space="preserve">/e-schedule. </w:t>
      </w:r>
    </w:p>
    <w:p w:rsidR="000B437A" w:rsidRDefault="000B437A" w:rsidP="000B437A">
      <w:pPr>
        <w:pStyle w:val="ListParagraph"/>
        <w:numPr>
          <w:ilvl w:val="0"/>
          <w:numId w:val="27"/>
        </w:numPr>
        <w:spacing w:before="0" w:after="0"/>
        <w:ind w:left="540" w:hanging="270"/>
        <w:contextualSpacing w:val="0"/>
        <w:rPr>
          <w:color w:val="002060"/>
          <w:sz w:val="20"/>
          <w:szCs w:val="20"/>
        </w:rPr>
      </w:pPr>
      <w:r w:rsidRPr="000B437A">
        <w:rPr>
          <w:color w:val="002060"/>
          <w:sz w:val="20"/>
          <w:szCs w:val="20"/>
        </w:rPr>
        <w:t>How the number of students available shows in stack courses: (A, B, &amp; C) combination. There is a global cap</w:t>
      </w:r>
    </w:p>
    <w:p w:rsidR="000B437A" w:rsidRPr="000B437A" w:rsidRDefault="000B437A" w:rsidP="000B437A">
      <w:pPr>
        <w:pStyle w:val="ListParagraph"/>
        <w:spacing w:before="0" w:after="0"/>
        <w:ind w:left="540" w:hanging="270"/>
        <w:contextualSpacing w:val="0"/>
        <w:rPr>
          <w:color w:val="002060"/>
          <w:sz w:val="20"/>
          <w:szCs w:val="20"/>
        </w:rPr>
      </w:pPr>
      <w:r w:rsidRPr="000B437A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    </w:t>
      </w:r>
      <w:proofErr w:type="gramStart"/>
      <w:r w:rsidRPr="000B437A">
        <w:rPr>
          <w:color w:val="002060"/>
          <w:sz w:val="20"/>
          <w:szCs w:val="20"/>
        </w:rPr>
        <w:t>and</w:t>
      </w:r>
      <w:proofErr w:type="gramEnd"/>
      <w:r w:rsidRPr="000B437A">
        <w:rPr>
          <w:color w:val="002060"/>
          <w:sz w:val="20"/>
          <w:szCs w:val="20"/>
        </w:rPr>
        <w:t xml:space="preserve"> a cap set on each course when the global cap is reached the cap on each individual course may still show there </w:t>
      </w:r>
      <w:r>
        <w:rPr>
          <w:color w:val="002060"/>
          <w:sz w:val="20"/>
          <w:szCs w:val="20"/>
        </w:rPr>
        <w:t xml:space="preserve"> </w:t>
      </w:r>
      <w:r w:rsidRPr="000B437A">
        <w:rPr>
          <w:color w:val="002060"/>
          <w:sz w:val="20"/>
          <w:szCs w:val="20"/>
        </w:rPr>
        <w:t xml:space="preserve">are seats available even when the cap has been met. </w:t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8D4" w:rsidRDefault="002778D4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8D4" w:rsidRDefault="002778D4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379F2" w:rsidRDefault="001379F2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DAWG-PUP Discussions – Degree Audit 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Ben Mudgett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1379F2" w:rsidRPr="006258DB" w:rsidRDefault="001379F2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Colleague UI Grey Screen Conversions Status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A790F" w:rsidRDefault="005A790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Financial Aid Processing 2012 blank ‘CS’ records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984A8F" w:rsidRDefault="00984A8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Course Auditing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673610" w:rsidRDefault="00673610" w:rsidP="00673610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Transfer Evaluation System (TES) College Source - web software for course equivalencies (Larry Aycock)</w:t>
      </w:r>
    </w:p>
    <w:p w:rsidR="00673610" w:rsidRPr="006258DB" w:rsidRDefault="00673610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sectPr w:rsidR="00673610" w:rsidRPr="006258DB" w:rsidSect="00F3036E">
      <w:footerReference w:type="default" r:id="rId9"/>
      <w:foot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3C7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2778D4">
    <w:pPr>
      <w:pStyle w:val="Footer"/>
      <w:rPr>
        <w:color w:val="002060"/>
        <w:sz w:val="16"/>
        <w:szCs w:val="16"/>
      </w:rPr>
    </w:pPr>
    <w:r w:rsidRPr="002778D4">
      <w:rPr>
        <w:color w:val="002060"/>
        <w:sz w:val="16"/>
        <w:szCs w:val="16"/>
      </w:rPr>
      <w:t>Revised 10/07/2015 @ 12:45pm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13"/>
  </w:num>
  <w:num w:numId="15">
    <w:abstractNumId w:val="22"/>
  </w:num>
  <w:num w:numId="16">
    <w:abstractNumId w:val="17"/>
  </w:num>
  <w:num w:numId="17">
    <w:abstractNumId w:val="11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19"/>
  </w:num>
  <w:num w:numId="23">
    <w:abstractNumId w:val="12"/>
  </w:num>
  <w:num w:numId="24">
    <w:abstractNumId w:val="21"/>
  </w:num>
  <w:num w:numId="25">
    <w:abstractNumId w:val="1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B437A"/>
    <w:rsid w:val="000C1C81"/>
    <w:rsid w:val="000D5ACE"/>
    <w:rsid w:val="000F6D59"/>
    <w:rsid w:val="001379F2"/>
    <w:rsid w:val="00173F7C"/>
    <w:rsid w:val="0019719D"/>
    <w:rsid w:val="001B7C05"/>
    <w:rsid w:val="00212D03"/>
    <w:rsid w:val="002771E2"/>
    <w:rsid w:val="002778D4"/>
    <w:rsid w:val="002A2D1E"/>
    <w:rsid w:val="002D77E8"/>
    <w:rsid w:val="00305B58"/>
    <w:rsid w:val="00322A19"/>
    <w:rsid w:val="00356C2B"/>
    <w:rsid w:val="00366708"/>
    <w:rsid w:val="003748D5"/>
    <w:rsid w:val="003A2127"/>
    <w:rsid w:val="003A5442"/>
    <w:rsid w:val="003C7719"/>
    <w:rsid w:val="003F1156"/>
    <w:rsid w:val="00433C7A"/>
    <w:rsid w:val="00445AAF"/>
    <w:rsid w:val="00497EC3"/>
    <w:rsid w:val="004A73B3"/>
    <w:rsid w:val="004B58C7"/>
    <w:rsid w:val="004C17EE"/>
    <w:rsid w:val="0052501A"/>
    <w:rsid w:val="005334E7"/>
    <w:rsid w:val="0054734D"/>
    <w:rsid w:val="005A5484"/>
    <w:rsid w:val="005A790F"/>
    <w:rsid w:val="005D4B87"/>
    <w:rsid w:val="005D79F8"/>
    <w:rsid w:val="006258DB"/>
    <w:rsid w:val="00636D0D"/>
    <w:rsid w:val="006415C3"/>
    <w:rsid w:val="00666C4E"/>
    <w:rsid w:val="00673610"/>
    <w:rsid w:val="006D27AD"/>
    <w:rsid w:val="006E30A2"/>
    <w:rsid w:val="006F5DDC"/>
    <w:rsid w:val="006F7277"/>
    <w:rsid w:val="0070177A"/>
    <w:rsid w:val="007577CF"/>
    <w:rsid w:val="007B4C62"/>
    <w:rsid w:val="007C6254"/>
    <w:rsid w:val="00820B44"/>
    <w:rsid w:val="00845100"/>
    <w:rsid w:val="00861722"/>
    <w:rsid w:val="008A2883"/>
    <w:rsid w:val="00941308"/>
    <w:rsid w:val="0096183F"/>
    <w:rsid w:val="00963DA6"/>
    <w:rsid w:val="009823F7"/>
    <w:rsid w:val="00984A8F"/>
    <w:rsid w:val="009D7C7B"/>
    <w:rsid w:val="00A449E3"/>
    <w:rsid w:val="00A604D9"/>
    <w:rsid w:val="00A80E9C"/>
    <w:rsid w:val="00A80F05"/>
    <w:rsid w:val="00AB6A12"/>
    <w:rsid w:val="00AD4DFD"/>
    <w:rsid w:val="00AF0845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A1F71"/>
    <w:rsid w:val="00DE0BDC"/>
    <w:rsid w:val="00E3167C"/>
    <w:rsid w:val="00E432F7"/>
    <w:rsid w:val="00E90F79"/>
    <w:rsid w:val="00E93872"/>
    <w:rsid w:val="00EA0619"/>
    <w:rsid w:val="00EB549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2F7AE-691E-494C-887D-4C249C4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9</cp:revision>
  <cp:lastPrinted>2015-10-07T20:41:00Z</cp:lastPrinted>
  <dcterms:created xsi:type="dcterms:W3CDTF">2015-10-05T19:01:00Z</dcterms:created>
  <dcterms:modified xsi:type="dcterms:W3CDTF">2015-10-07T20:42:00Z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