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AA2AB5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984A8F">
        <w:rPr>
          <w:color w:val="14415C" w:themeColor="accent3" w:themeShade="BF"/>
        </w:rPr>
        <w:t>Octo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553AEE">
        <w:rPr>
          <w:color w:val="14415C" w:themeColor="accent3" w:themeShade="BF"/>
        </w:rPr>
        <w:t>2</w:t>
      </w:r>
      <w:r w:rsidR="00802A8B">
        <w:rPr>
          <w:color w:val="14415C" w:themeColor="accent3" w:themeShade="BF"/>
        </w:rPr>
        <w:t>8</w:t>
      </w:r>
      <w:r w:rsidR="00802A8B" w:rsidRPr="00802A8B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EB5492" w:rsidRDefault="00EB5492" w:rsidP="00F3036E">
      <w:pPr>
        <w:spacing w:before="0" w:after="0"/>
        <w:ind w:left="5112" w:firstLine="648"/>
        <w:rPr>
          <w:color w:val="14415C" w:themeColor="accent3" w:themeShade="BF"/>
        </w:rPr>
      </w:pP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4A73B3" w:rsidRDefault="00553AEE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 xml:space="preserve"> I</w:t>
      </w:r>
      <w:r w:rsidR="004A73B3" w:rsidRPr="005A790F">
        <w:rPr>
          <w:color w:val="002060"/>
          <w:sz w:val="22"/>
          <w:szCs w:val="22"/>
        </w:rPr>
        <w:t xml:space="preserve">. </w:t>
      </w:r>
      <w:r w:rsidR="00802A8B">
        <w:rPr>
          <w:color w:val="002060"/>
          <w:sz w:val="22"/>
          <w:szCs w:val="22"/>
        </w:rPr>
        <w:t>DAWG Parking Lot</w:t>
      </w:r>
      <w:r w:rsidR="004A73B3">
        <w:rPr>
          <w:color w:val="002060"/>
          <w:sz w:val="22"/>
          <w:szCs w:val="22"/>
        </w:rPr>
        <w:t xml:space="preserve"> </w:t>
      </w:r>
      <w:r w:rsidR="00F6781C">
        <w:rPr>
          <w:color w:val="002060"/>
          <w:sz w:val="22"/>
          <w:szCs w:val="22"/>
        </w:rPr>
        <w:t>–</w:t>
      </w:r>
      <w:r w:rsidR="004A73B3">
        <w:rPr>
          <w:color w:val="002060"/>
          <w:sz w:val="22"/>
          <w:szCs w:val="22"/>
        </w:rPr>
        <w:t xml:space="preserve"> </w:t>
      </w:r>
      <w:r w:rsidR="00802A8B">
        <w:rPr>
          <w:color w:val="002060"/>
          <w:sz w:val="22"/>
          <w:szCs w:val="22"/>
        </w:rPr>
        <w:t>Open Discussions</w:t>
      </w:r>
    </w:p>
    <w:p w:rsidR="00802A8B" w:rsidRPr="006258D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Waiver of Course Prerequisites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 xml:space="preserve">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Drop Codes after attendance/drop for nonpayment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 w:rsidR="00931784">
        <w:rPr>
          <w:rFonts w:asciiTheme="majorHAnsi" w:hAnsiTheme="majorHAnsi" w:cs="Courier New"/>
          <w:i/>
          <w:color w:val="C00000"/>
          <w:sz w:val="18"/>
          <w:szCs w:val="18"/>
        </w:rPr>
        <w:t>Re-Open Discussion</w:t>
      </w:r>
      <w:r w:rsidRPr="00931784">
        <w:rPr>
          <w:rFonts w:asciiTheme="majorHAnsi" w:hAnsiTheme="majorHAnsi" w:cs="Courier New"/>
          <w:color w:val="C00000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Amber Gallagher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931784" w:rsidRDefault="00931784" w:rsidP="00931784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 w:rsidRPr="00931784">
        <w:rPr>
          <w:rFonts w:asciiTheme="majorHAnsi" w:hAnsiTheme="majorHAnsi" w:cs="Courier New"/>
          <w:b/>
          <w:color w:val="C00000"/>
          <w:sz w:val="18"/>
          <w:szCs w:val="18"/>
        </w:rPr>
        <w:t xml:space="preserve">Discussion: </w:t>
      </w:r>
      <w:r>
        <w:rPr>
          <w:rFonts w:asciiTheme="majorHAnsi" w:hAnsiTheme="majorHAnsi" w:cs="Courier New"/>
          <w:color w:val="C00000"/>
          <w:sz w:val="18"/>
          <w:szCs w:val="18"/>
        </w:rPr>
        <w:t>When a course is non-payment dropped on or after the 2</w:t>
      </w:r>
      <w:r w:rsidRPr="00931784">
        <w:rPr>
          <w:rFonts w:asciiTheme="majorHAnsi" w:hAnsiTheme="majorHAnsi" w:cs="Courier New"/>
          <w:color w:val="C00000"/>
          <w:sz w:val="18"/>
          <w:szCs w:val="18"/>
          <w:vertAlign w:val="superscript"/>
        </w:rPr>
        <w:t>nd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day of class, use a different drop status for non-payment. Reason’s for non-payment drop after the first day of class, generally will be because the student was in class, but now has a change in BOG status, and wasn’t able to pay for the courses</w:t>
      </w:r>
    </w:p>
    <w:p w:rsidR="00931784" w:rsidRPr="00931784" w:rsidRDefault="00931784" w:rsidP="00931784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 w:cs="Courier New"/>
          <w:b/>
          <w:color w:val="C00000"/>
          <w:sz w:val="18"/>
          <w:szCs w:val="18"/>
        </w:rPr>
      </w:pPr>
      <w:r w:rsidRPr="00931784">
        <w:rPr>
          <w:rFonts w:asciiTheme="majorHAnsi" w:hAnsiTheme="majorHAnsi" w:cs="Courier New"/>
          <w:b/>
          <w:color w:val="C00000"/>
          <w:sz w:val="18"/>
          <w:szCs w:val="18"/>
        </w:rPr>
        <w:t>Suggestion:</w:t>
      </w:r>
    </w:p>
    <w:p w:rsidR="00931784" w:rsidRDefault="00931784" w:rsidP="00931784">
      <w:pPr>
        <w:pStyle w:val="ListParagraph"/>
        <w:numPr>
          <w:ilvl w:val="1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>NP – Non-Payment Drop on or before 1</w:t>
      </w:r>
      <w:r w:rsidRPr="00931784">
        <w:rPr>
          <w:rFonts w:asciiTheme="majorHAnsi" w:hAnsiTheme="majorHAnsi" w:cs="Courier New"/>
          <w:color w:val="C00000"/>
          <w:sz w:val="18"/>
          <w:szCs w:val="18"/>
          <w:vertAlign w:val="superscript"/>
        </w:rPr>
        <w:t>st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day of the section.</w:t>
      </w:r>
    </w:p>
    <w:p w:rsidR="00931784" w:rsidRPr="00931784" w:rsidRDefault="00931784" w:rsidP="00931784">
      <w:pPr>
        <w:pStyle w:val="ListParagraph"/>
        <w:numPr>
          <w:ilvl w:val="1"/>
          <w:numId w:val="28"/>
        </w:numPr>
        <w:spacing w:before="0" w:after="0"/>
        <w:rPr>
          <w:rFonts w:asciiTheme="majorHAnsi" w:hAnsiTheme="majorHAnsi" w:cs="Courier New"/>
          <w:color w:val="C00000"/>
          <w:sz w:val="18"/>
          <w:szCs w:val="18"/>
        </w:rPr>
      </w:pPr>
      <w:r>
        <w:rPr>
          <w:rFonts w:asciiTheme="majorHAnsi" w:hAnsiTheme="majorHAnsi" w:cs="Courier New"/>
          <w:color w:val="C00000"/>
          <w:sz w:val="18"/>
          <w:szCs w:val="18"/>
        </w:rPr>
        <w:t>NA – Non-Payment Drop after the 1</w:t>
      </w:r>
      <w:r w:rsidRPr="00931784">
        <w:rPr>
          <w:rFonts w:asciiTheme="majorHAnsi" w:hAnsiTheme="majorHAnsi" w:cs="Courier New"/>
          <w:color w:val="C00000"/>
          <w:sz w:val="18"/>
          <w:szCs w:val="18"/>
          <w:vertAlign w:val="superscript"/>
        </w:rPr>
        <w:t>st</w:t>
      </w:r>
      <w:r>
        <w:rPr>
          <w:rFonts w:asciiTheme="majorHAnsi" w:hAnsiTheme="majorHAnsi" w:cs="Courier New"/>
          <w:color w:val="C00000"/>
          <w:sz w:val="18"/>
          <w:szCs w:val="18"/>
        </w:rPr>
        <w:t xml:space="preserve"> day of class.</w:t>
      </w:r>
    </w:p>
    <w:p w:rsidR="00802A8B" w:rsidRPr="006258D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AB540 residency code of 51000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 xml:space="preserve">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802A8B" w:rsidRPr="006258D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Colleague UI Grey Screen Conversions Status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Financial Aid Processing 2012 blank ‘CS’ records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Course Auditing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Transfer Evaluation System (TES) College Source - web software for course equivalencies (Larry Aycock)</w:t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Posting Military Credit – 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Larry Aycock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802A8B" w:rsidRPr="006258D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R25 Live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Joe Cabrales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802A8B" w:rsidRPr="006258D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WebAdvisor Surveys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Michael Aquino/Jason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802A8B" w:rsidRDefault="00802A8B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A790F" w:rsidRDefault="00802A8B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483DC3">
        <w:rPr>
          <w:color w:val="14415C" w:themeColor="accent3" w:themeShade="BF"/>
          <w:sz w:val="22"/>
          <w:szCs w:val="22"/>
        </w:rPr>
        <w:t>I</w:t>
      </w:r>
      <w:r w:rsidR="004A73B3">
        <w:rPr>
          <w:color w:val="14415C" w:themeColor="accent3" w:themeShade="BF"/>
          <w:sz w:val="22"/>
          <w:szCs w:val="22"/>
        </w:rPr>
        <w:t xml:space="preserve">. </w:t>
      </w:r>
      <w:r w:rsidR="00D93C55">
        <w:rPr>
          <w:color w:val="14415C" w:themeColor="accent3" w:themeShade="BF"/>
          <w:sz w:val="22"/>
          <w:szCs w:val="22"/>
        </w:rPr>
        <w:t>EPI Steering Committee</w:t>
      </w:r>
      <w:r w:rsidR="004A73B3">
        <w:rPr>
          <w:color w:val="002060"/>
          <w:sz w:val="22"/>
          <w:szCs w:val="22"/>
        </w:rPr>
        <w:t xml:space="preserve"> </w:t>
      </w:r>
      <w:r w:rsidR="00D93C55">
        <w:rPr>
          <w:color w:val="14415C" w:themeColor="accent3" w:themeShade="BF"/>
          <w:sz w:val="22"/>
          <w:szCs w:val="22"/>
        </w:rPr>
        <w:t xml:space="preserve">– Status </w:t>
      </w:r>
      <w:r w:rsidR="00D93C55" w:rsidRPr="00B84E36">
        <w:rPr>
          <w:color w:val="14415C" w:themeColor="accent3" w:themeShade="BF"/>
          <w:sz w:val="20"/>
          <w:szCs w:val="20"/>
        </w:rPr>
        <w:t>(</w:t>
      </w:r>
      <w:r w:rsidR="00D93C55" w:rsidRPr="00AB6A12">
        <w:rPr>
          <w:color w:val="14415C" w:themeColor="accent3" w:themeShade="BF"/>
          <w:sz w:val="16"/>
          <w:szCs w:val="16"/>
        </w:rPr>
        <w:t>Ben Mudgett/Ailsa Aguilar-Kitibutr/Andy Chang/Robert McAtee</w:t>
      </w:r>
      <w:r w:rsidR="00D93C55" w:rsidRPr="00B84E36">
        <w:rPr>
          <w:color w:val="14415C" w:themeColor="accent3" w:themeShade="BF"/>
          <w:sz w:val="20"/>
          <w:szCs w:val="20"/>
        </w:rPr>
        <w:t>)</w:t>
      </w:r>
    </w:p>
    <w:p w:rsidR="003748D5" w:rsidRDefault="00F6781C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     </w:t>
      </w:r>
    </w:p>
    <w:p w:rsidR="00F6781C" w:rsidRDefault="00F6781C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802A8B" w:rsidRDefault="00802A8B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1333C4" w:rsidRDefault="001333C4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D79F8" w:rsidRDefault="00553AEE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802A8B">
        <w:rPr>
          <w:color w:val="14415C" w:themeColor="accent3" w:themeShade="BF"/>
          <w:sz w:val="22"/>
          <w:szCs w:val="22"/>
        </w:rPr>
        <w:t>II</w:t>
      </w:r>
      <w:r w:rsidR="004A73B3">
        <w:rPr>
          <w:color w:val="14415C" w:themeColor="accent3" w:themeShade="BF"/>
          <w:sz w:val="22"/>
          <w:szCs w:val="22"/>
        </w:rPr>
        <w:t>. DAWG PUP Discussions</w:t>
      </w:r>
      <w:r w:rsidR="004A73B3" w:rsidRPr="005D79F8">
        <w:rPr>
          <w:color w:val="14415C" w:themeColor="accent3" w:themeShade="BF"/>
          <w:sz w:val="22"/>
          <w:szCs w:val="22"/>
        </w:rPr>
        <w:t xml:space="preserve"> </w:t>
      </w:r>
      <w:r w:rsidR="004A73B3">
        <w:rPr>
          <w:color w:val="14415C" w:themeColor="accent3" w:themeShade="BF"/>
          <w:sz w:val="22"/>
          <w:szCs w:val="22"/>
        </w:rPr>
        <w:t xml:space="preserve">– Degree Audit </w:t>
      </w:r>
      <w:r w:rsidR="004A73B3" w:rsidRPr="00B84E36">
        <w:rPr>
          <w:color w:val="14415C" w:themeColor="accent3" w:themeShade="BF"/>
          <w:sz w:val="20"/>
          <w:szCs w:val="20"/>
        </w:rPr>
        <w:t>(</w:t>
      </w:r>
      <w:r w:rsidR="004A73B3" w:rsidRPr="004A73B3">
        <w:rPr>
          <w:color w:val="14415C" w:themeColor="accent3" w:themeShade="BF"/>
          <w:sz w:val="18"/>
          <w:szCs w:val="18"/>
        </w:rPr>
        <w:t>Ben Mudgett</w:t>
      </w:r>
      <w:r w:rsidR="004A73B3" w:rsidRPr="00B84E36">
        <w:rPr>
          <w:color w:val="14415C" w:themeColor="accent3" w:themeShade="BF"/>
          <w:sz w:val="20"/>
          <w:szCs w:val="20"/>
        </w:rPr>
        <w:t>)</w:t>
      </w:r>
      <w:r w:rsidR="004A73B3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802A8B" w:rsidRDefault="00802A8B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802A8B" w:rsidRDefault="00802A8B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1333C4" w:rsidRDefault="001333C4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2778D4" w:rsidRDefault="002778D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483DC3" w:rsidRDefault="00483DC3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3EAC" w:rsidRDefault="00623EA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3EAC" w:rsidRDefault="00623EA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F6781C" w:rsidRDefault="00F6781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33C4" w:rsidRDefault="001333C4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553AEE" w:rsidRDefault="00553AEE" w:rsidP="00553AE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DREG Automation via RGVE – UL Review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Joyce Bond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53AEE" w:rsidRPr="006258DB" w:rsidRDefault="00553AEE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sectPr w:rsidR="00553AEE" w:rsidRPr="006258DB" w:rsidSect="00F3036E">
      <w:footerReference w:type="default" r:id="rId9"/>
      <w:foot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2A8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10/</w:t>
    </w:r>
    <w:r w:rsidR="00B4301A">
      <w:rPr>
        <w:color w:val="002060"/>
        <w:sz w:val="16"/>
        <w:szCs w:val="16"/>
      </w:rPr>
      <w:t>2</w:t>
    </w:r>
    <w:r w:rsidR="00802A8B"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 xml:space="preserve">/2015 @ </w:t>
    </w:r>
    <w:r w:rsidR="00802A8B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:</w:t>
    </w:r>
    <w:r w:rsidR="00802A8B">
      <w:rPr>
        <w:color w:val="002060"/>
        <w:sz w:val="16"/>
        <w:szCs w:val="16"/>
      </w:rPr>
      <w:t>34p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B437A"/>
    <w:rsid w:val="000C1C81"/>
    <w:rsid w:val="000D5ACE"/>
    <w:rsid w:val="000F6D59"/>
    <w:rsid w:val="001333C4"/>
    <w:rsid w:val="001379F2"/>
    <w:rsid w:val="00173F7C"/>
    <w:rsid w:val="0019719D"/>
    <w:rsid w:val="001B7C05"/>
    <w:rsid w:val="00212D03"/>
    <w:rsid w:val="002771E2"/>
    <w:rsid w:val="002778D4"/>
    <w:rsid w:val="002A2D1E"/>
    <w:rsid w:val="002D77E8"/>
    <w:rsid w:val="00305B58"/>
    <w:rsid w:val="00322A19"/>
    <w:rsid w:val="00356C2B"/>
    <w:rsid w:val="00366708"/>
    <w:rsid w:val="003748D5"/>
    <w:rsid w:val="003A2127"/>
    <w:rsid w:val="003A5442"/>
    <w:rsid w:val="003C7719"/>
    <w:rsid w:val="003F1156"/>
    <w:rsid w:val="00433C7A"/>
    <w:rsid w:val="00433E0D"/>
    <w:rsid w:val="00445AAF"/>
    <w:rsid w:val="00483DC3"/>
    <w:rsid w:val="00497EC3"/>
    <w:rsid w:val="004A73B3"/>
    <w:rsid w:val="004B58C7"/>
    <w:rsid w:val="004C17EE"/>
    <w:rsid w:val="0052501A"/>
    <w:rsid w:val="005334E7"/>
    <w:rsid w:val="0054734D"/>
    <w:rsid w:val="00553AEE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6C4E"/>
    <w:rsid w:val="00673610"/>
    <w:rsid w:val="006D27AD"/>
    <w:rsid w:val="006E30A2"/>
    <w:rsid w:val="006F5DDC"/>
    <w:rsid w:val="006F7277"/>
    <w:rsid w:val="0070177A"/>
    <w:rsid w:val="007577CF"/>
    <w:rsid w:val="007A4508"/>
    <w:rsid w:val="007B4C62"/>
    <w:rsid w:val="007C6254"/>
    <w:rsid w:val="00802A8B"/>
    <w:rsid w:val="00820B44"/>
    <w:rsid w:val="00833030"/>
    <w:rsid w:val="00845100"/>
    <w:rsid w:val="00861722"/>
    <w:rsid w:val="008A2883"/>
    <w:rsid w:val="00931784"/>
    <w:rsid w:val="009333B0"/>
    <w:rsid w:val="00941308"/>
    <w:rsid w:val="0096183F"/>
    <w:rsid w:val="00963DA6"/>
    <w:rsid w:val="009823F7"/>
    <w:rsid w:val="00984A8F"/>
    <w:rsid w:val="009D7C7B"/>
    <w:rsid w:val="00A449E3"/>
    <w:rsid w:val="00A604D9"/>
    <w:rsid w:val="00A80E9C"/>
    <w:rsid w:val="00A80F05"/>
    <w:rsid w:val="00AA2AB5"/>
    <w:rsid w:val="00AB6A12"/>
    <w:rsid w:val="00AD4DFD"/>
    <w:rsid w:val="00AF0845"/>
    <w:rsid w:val="00B4301A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93C55"/>
    <w:rsid w:val="00DA1F71"/>
    <w:rsid w:val="00DD23EC"/>
    <w:rsid w:val="00DE0BDC"/>
    <w:rsid w:val="00E3167C"/>
    <w:rsid w:val="00E432F7"/>
    <w:rsid w:val="00E90F79"/>
    <w:rsid w:val="00E93872"/>
    <w:rsid w:val="00EA0619"/>
    <w:rsid w:val="00EB5492"/>
    <w:rsid w:val="00EC44F1"/>
    <w:rsid w:val="00EF58A1"/>
    <w:rsid w:val="00F3036E"/>
    <w:rsid w:val="00F37ADB"/>
    <w:rsid w:val="00F6781C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3F56A-22E0-4B21-9A05-286B7EBE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2</cp:revision>
  <cp:lastPrinted>2015-10-21T16:56:00Z</cp:lastPrinted>
  <dcterms:created xsi:type="dcterms:W3CDTF">2015-11-02T18:16:00Z</dcterms:created>
  <dcterms:modified xsi:type="dcterms:W3CDTF">2015-11-02T18:16:00Z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