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12" w:rsidRDefault="00E473A8" w:rsidP="00BB206A">
      <w:pPr>
        <w:pStyle w:val="Subtitle"/>
        <w:numPr>
          <w:ilvl w:val="0"/>
          <w:numId w:val="40"/>
        </w:numPr>
        <w:pBdr>
          <w:top w:val="single" w:sz="4" w:space="0" w:color="A5A5A5" w:themeColor="accent3"/>
        </w:pBdr>
        <w:tabs>
          <w:tab w:val="left" w:pos="540"/>
          <w:tab w:val="left" w:pos="630"/>
          <w:tab w:val="left" w:pos="1440"/>
          <w:tab w:val="left" w:pos="2160"/>
          <w:tab w:val="left" w:pos="2880"/>
        </w:tabs>
        <w:spacing w:before="480" w:after="0"/>
        <w:ind w:left="360" w:hanging="360"/>
        <w:rPr>
          <w:rFonts w:ascii="Verdana" w:hAnsi="Verdana"/>
          <w:b/>
          <w:color w:val="0000CC"/>
          <w:sz w:val="22"/>
          <w:szCs w:val="22"/>
        </w:rPr>
      </w:pPr>
      <w:r w:rsidRPr="007D1A02">
        <w:rPr>
          <w:rFonts w:ascii="Verdana" w:hAnsi="Verdana"/>
          <w:b/>
          <w:color w:val="0000CC"/>
          <w:sz w:val="22"/>
          <w:szCs w:val="22"/>
        </w:rPr>
        <w:t xml:space="preserve">Adding </w:t>
      </w:r>
      <w:r w:rsidR="007D1A02" w:rsidRPr="007D1A02">
        <w:rPr>
          <w:rFonts w:ascii="Verdana" w:hAnsi="Verdana"/>
          <w:b/>
          <w:color w:val="0000CC"/>
          <w:sz w:val="22"/>
          <w:szCs w:val="22"/>
        </w:rPr>
        <w:t xml:space="preserve">Additional </w:t>
      </w:r>
      <w:r w:rsidRPr="007D1A02">
        <w:rPr>
          <w:rFonts w:ascii="Verdana" w:hAnsi="Verdana"/>
          <w:b/>
          <w:color w:val="0000CC"/>
          <w:sz w:val="22"/>
          <w:szCs w:val="22"/>
        </w:rPr>
        <w:t xml:space="preserve">Student Drop </w:t>
      </w:r>
      <w:r w:rsidR="007D1A02" w:rsidRPr="007D1A02">
        <w:rPr>
          <w:rFonts w:ascii="Verdana" w:hAnsi="Verdana"/>
          <w:b/>
          <w:color w:val="0000CC"/>
          <w:sz w:val="22"/>
          <w:szCs w:val="22"/>
        </w:rPr>
        <w:t xml:space="preserve">Reasons in </w:t>
      </w:r>
      <w:proofErr w:type="spellStart"/>
      <w:r w:rsidR="009613EA" w:rsidRPr="007D1A02">
        <w:rPr>
          <w:rFonts w:ascii="Verdana" w:hAnsi="Verdana"/>
          <w:b/>
          <w:color w:val="0000CC"/>
          <w:sz w:val="22"/>
          <w:szCs w:val="22"/>
        </w:rPr>
        <w:t>WebAdvisor</w:t>
      </w:r>
      <w:proofErr w:type="spellEnd"/>
      <w:r w:rsidR="008D0F12">
        <w:rPr>
          <w:rFonts w:ascii="Verdana" w:hAnsi="Verdana"/>
          <w:b/>
          <w:color w:val="0000CC"/>
          <w:sz w:val="22"/>
          <w:szCs w:val="22"/>
        </w:rPr>
        <w:t xml:space="preserve">  </w:t>
      </w:r>
    </w:p>
    <w:p w:rsidR="007267FB" w:rsidRPr="007D1A02" w:rsidRDefault="007D1A02" w:rsidP="00BB206A">
      <w:pPr>
        <w:pStyle w:val="NoSpacing"/>
        <w:spacing w:before="120" w:after="240"/>
        <w:ind w:left="720"/>
        <w:rPr>
          <w:rFonts w:ascii="Verdana" w:hAnsi="Verdana"/>
          <w:b/>
        </w:rPr>
      </w:pPr>
      <w:r w:rsidRPr="007D1A02">
        <w:rPr>
          <w:rFonts w:ascii="Verdana" w:hAnsi="Verdana"/>
        </w:rPr>
        <w:t xml:space="preserve">Sponsor: </w:t>
      </w:r>
      <w:r w:rsidR="009613EA" w:rsidRPr="007D1A02">
        <w:rPr>
          <w:rFonts w:ascii="Verdana" w:hAnsi="Verdana"/>
        </w:rPr>
        <w:t>April Dale-Carter</w:t>
      </w:r>
      <w:r w:rsidR="007267FB" w:rsidRPr="007D1A02">
        <w:rPr>
          <w:rFonts w:ascii="Verdana" w:hAnsi="Verdana"/>
          <w:b/>
          <w:color w:val="0000CC"/>
        </w:rPr>
        <w:tab/>
      </w:r>
      <w:r w:rsidR="007267FB" w:rsidRPr="007D1A02">
        <w:rPr>
          <w:rFonts w:ascii="Verdana" w:hAnsi="Verdana"/>
          <w:b/>
        </w:rPr>
        <w:tab/>
      </w:r>
    </w:p>
    <w:p w:rsidR="007267FB" w:rsidRPr="00E541A1" w:rsidRDefault="007D1A02" w:rsidP="00BB206A">
      <w:pPr>
        <w:pStyle w:val="NoSpacing"/>
        <w:numPr>
          <w:ilvl w:val="0"/>
          <w:numId w:val="35"/>
        </w:numPr>
        <w:spacing w:after="120"/>
        <w:rPr>
          <w:rFonts w:ascii="Verdana" w:eastAsiaTheme="minorEastAsia" w:hAnsi="Verdana"/>
          <w:i/>
        </w:rPr>
      </w:pPr>
      <w:r w:rsidRPr="000825AC">
        <w:rPr>
          <w:rFonts w:ascii="Verdana" w:hAnsi="Verdana"/>
          <w:i/>
        </w:rPr>
        <w:t>In the C</w:t>
      </w:r>
      <w:r w:rsidR="00E473A8" w:rsidRPr="000825AC">
        <w:rPr>
          <w:rFonts w:ascii="Verdana" w:hAnsi="Verdana"/>
          <w:i/>
        </w:rPr>
        <w:t xml:space="preserve">ampus </w:t>
      </w:r>
      <w:r w:rsidRPr="000825AC">
        <w:rPr>
          <w:rFonts w:ascii="Verdana" w:hAnsi="Verdana"/>
          <w:i/>
        </w:rPr>
        <w:t>R</w:t>
      </w:r>
      <w:r w:rsidR="00E473A8" w:rsidRPr="000825AC">
        <w:rPr>
          <w:rFonts w:ascii="Verdana" w:hAnsi="Verdana"/>
          <w:i/>
        </w:rPr>
        <w:t xml:space="preserve">etention </w:t>
      </w:r>
      <w:r w:rsidRPr="000825AC">
        <w:rPr>
          <w:rFonts w:ascii="Verdana" w:hAnsi="Verdana"/>
          <w:i/>
        </w:rPr>
        <w:t>C</w:t>
      </w:r>
      <w:r w:rsidR="00E473A8" w:rsidRPr="000825AC">
        <w:rPr>
          <w:rFonts w:ascii="Verdana" w:hAnsi="Verdana"/>
          <w:i/>
        </w:rPr>
        <w:t xml:space="preserve">ommittee </w:t>
      </w:r>
      <w:r w:rsidRPr="000825AC">
        <w:rPr>
          <w:rFonts w:ascii="Verdana" w:hAnsi="Verdana"/>
          <w:i/>
        </w:rPr>
        <w:t>M</w:t>
      </w:r>
      <w:r w:rsidR="00E473A8" w:rsidRPr="000825AC">
        <w:rPr>
          <w:rFonts w:ascii="Verdana" w:hAnsi="Verdana"/>
          <w:i/>
        </w:rPr>
        <w:t>eeting</w:t>
      </w:r>
      <w:r w:rsidRPr="000825AC">
        <w:rPr>
          <w:rFonts w:ascii="Verdana" w:hAnsi="Verdana"/>
          <w:i/>
        </w:rPr>
        <w:t xml:space="preserve">, </w:t>
      </w:r>
      <w:r w:rsidR="00E473A8" w:rsidRPr="000825AC">
        <w:rPr>
          <w:rFonts w:ascii="Verdana" w:hAnsi="Verdana"/>
          <w:i/>
        </w:rPr>
        <w:t xml:space="preserve">we were discussing </w:t>
      </w:r>
      <w:r w:rsidR="000825AC" w:rsidRPr="000825AC">
        <w:rPr>
          <w:rFonts w:ascii="Verdana" w:hAnsi="Verdana"/>
          <w:i/>
        </w:rPr>
        <w:t>r</w:t>
      </w:r>
      <w:r w:rsidR="00E473A8" w:rsidRPr="000825AC">
        <w:rPr>
          <w:rFonts w:ascii="Verdana" w:hAnsi="Verdana"/>
          <w:i/>
        </w:rPr>
        <w:t>eason</w:t>
      </w:r>
      <w:r w:rsidR="000825AC" w:rsidRPr="000825AC">
        <w:rPr>
          <w:rFonts w:ascii="Verdana" w:hAnsi="Verdana"/>
          <w:i/>
        </w:rPr>
        <w:t>s</w:t>
      </w:r>
      <w:r w:rsidR="00E473A8" w:rsidRPr="000825AC">
        <w:rPr>
          <w:rFonts w:ascii="Verdana" w:hAnsi="Verdana"/>
          <w:i/>
        </w:rPr>
        <w:t xml:space="preserve"> students drop from </w:t>
      </w:r>
      <w:r w:rsidR="000825AC" w:rsidRPr="000825AC">
        <w:rPr>
          <w:rFonts w:ascii="Verdana" w:hAnsi="Verdana"/>
          <w:i/>
        </w:rPr>
        <w:t xml:space="preserve">a </w:t>
      </w:r>
      <w:r w:rsidR="00E473A8" w:rsidRPr="000825AC">
        <w:rPr>
          <w:rFonts w:ascii="Verdana" w:hAnsi="Verdana"/>
          <w:i/>
        </w:rPr>
        <w:t>course</w:t>
      </w:r>
      <w:r w:rsidR="000825AC" w:rsidRPr="000825AC">
        <w:rPr>
          <w:rFonts w:ascii="Verdana" w:hAnsi="Verdana"/>
          <w:i/>
        </w:rPr>
        <w:t>.</w:t>
      </w:r>
      <w:r w:rsidR="000825AC">
        <w:rPr>
          <w:rFonts w:ascii="Verdana" w:eastAsiaTheme="minorEastAsia" w:hAnsi="Verdana"/>
          <w:i/>
        </w:rPr>
        <w:t xml:space="preserve"> </w:t>
      </w:r>
      <w:r w:rsidR="000825AC" w:rsidRPr="000825AC">
        <w:rPr>
          <w:rFonts w:ascii="Verdana" w:hAnsi="Verdana"/>
          <w:i/>
        </w:rPr>
        <w:t xml:space="preserve">We </w:t>
      </w:r>
      <w:r w:rsidR="00E473A8" w:rsidRPr="000825AC">
        <w:rPr>
          <w:rFonts w:ascii="Verdana" w:hAnsi="Verdana"/>
          <w:i/>
        </w:rPr>
        <w:t>w</w:t>
      </w:r>
      <w:r w:rsidRPr="000825AC">
        <w:rPr>
          <w:rFonts w:ascii="Verdana" w:hAnsi="Verdana"/>
          <w:i/>
        </w:rPr>
        <w:t>ere</w:t>
      </w:r>
      <w:r w:rsidR="00E473A8" w:rsidRPr="000825AC">
        <w:rPr>
          <w:rFonts w:ascii="Verdana" w:hAnsi="Verdana"/>
          <w:i/>
        </w:rPr>
        <w:t xml:space="preserve"> wondering if the options in </w:t>
      </w:r>
      <w:proofErr w:type="spellStart"/>
      <w:r w:rsidR="001F763C">
        <w:rPr>
          <w:rFonts w:ascii="Verdana" w:hAnsi="Verdana"/>
          <w:i/>
        </w:rPr>
        <w:t>W</w:t>
      </w:r>
      <w:r w:rsidR="00E473A8" w:rsidRPr="000825AC">
        <w:rPr>
          <w:rFonts w:ascii="Verdana" w:hAnsi="Verdana"/>
          <w:i/>
        </w:rPr>
        <w:t>eb</w:t>
      </w:r>
      <w:r w:rsidR="001F763C">
        <w:rPr>
          <w:rFonts w:ascii="Verdana" w:hAnsi="Verdana"/>
          <w:i/>
        </w:rPr>
        <w:t>A</w:t>
      </w:r>
      <w:r w:rsidR="00E473A8" w:rsidRPr="000825AC">
        <w:rPr>
          <w:rFonts w:ascii="Verdana" w:hAnsi="Verdana"/>
          <w:i/>
        </w:rPr>
        <w:t>dvisor</w:t>
      </w:r>
      <w:proofErr w:type="spellEnd"/>
      <w:r w:rsidR="00E473A8" w:rsidRPr="000825AC">
        <w:rPr>
          <w:rFonts w:ascii="Verdana" w:hAnsi="Verdana"/>
          <w:i/>
        </w:rPr>
        <w:t xml:space="preserve"> can be expanding upon. Can more options </w:t>
      </w:r>
      <w:r w:rsidRPr="000825AC">
        <w:rPr>
          <w:rFonts w:ascii="Verdana" w:hAnsi="Verdana"/>
          <w:i/>
        </w:rPr>
        <w:t xml:space="preserve">be added </w:t>
      </w:r>
      <w:r w:rsidR="00E473A8" w:rsidRPr="000825AC">
        <w:rPr>
          <w:rFonts w:ascii="Verdana" w:hAnsi="Verdana"/>
          <w:i/>
        </w:rPr>
        <w:t>(i</w:t>
      </w:r>
      <w:r w:rsidR="00B03862">
        <w:rPr>
          <w:rFonts w:ascii="Verdana" w:hAnsi="Verdana"/>
          <w:i/>
        </w:rPr>
        <w:t>.</w:t>
      </w:r>
      <w:r w:rsidR="00E473A8" w:rsidRPr="000825AC">
        <w:rPr>
          <w:rFonts w:ascii="Verdana" w:hAnsi="Verdana"/>
          <w:i/>
        </w:rPr>
        <w:t xml:space="preserve">e. Are you dropping all classes) or even a comment? </w:t>
      </w:r>
      <w:r w:rsidR="00E473A8" w:rsidRPr="000825AC">
        <w:rPr>
          <w:i/>
        </w:rPr>
        <w:br/>
      </w:r>
      <w:r w:rsidR="009613EA" w:rsidRPr="00E473A8">
        <w:br/>
      </w:r>
      <w:r w:rsidR="00E473A8">
        <w:rPr>
          <w:noProof/>
        </w:rPr>
        <w:drawing>
          <wp:inline distT="0" distB="0" distL="0" distR="0" wp14:anchorId="6BAADF11" wp14:editId="23FEFC8E">
            <wp:extent cx="6492240" cy="118491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EC8" w:rsidRPr="00E541A1" w:rsidRDefault="00330EC8" w:rsidP="00330EC8">
      <w:pPr>
        <w:spacing w:before="0" w:after="160" w:line="259" w:lineRule="auto"/>
        <w:ind w:left="0"/>
        <w:rPr>
          <w:rFonts w:ascii="Verdana" w:eastAsiaTheme="majorEastAsia" w:hAnsi="Verdana" w:cstheme="majorBidi"/>
          <w:color w:val="0000CC"/>
          <w:spacing w:val="15"/>
          <w:sz w:val="22"/>
          <w:szCs w:val="22"/>
        </w:rPr>
      </w:pPr>
    </w:p>
    <w:p w:rsidR="00926A36" w:rsidRDefault="00330EC8" w:rsidP="00926A36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480" w:after="0"/>
        <w:ind w:left="0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II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BF6400" w:rsidRPr="00BF6400">
        <w:rPr>
          <w:rFonts w:ascii="Verdana" w:hAnsi="Verdana"/>
          <w:b/>
          <w:color w:val="0000CC"/>
          <w:sz w:val="22"/>
          <w:szCs w:val="22"/>
        </w:rPr>
        <w:t>N</w:t>
      </w:r>
      <w:r w:rsidR="00BF6400" w:rsidRPr="00BF6400">
        <w:rPr>
          <w:rFonts w:ascii="Verdana" w:hAnsi="Verdana"/>
          <w:b/>
          <w:color w:val="0000CC"/>
          <w:sz w:val="22"/>
          <w:szCs w:val="22"/>
        </w:rPr>
        <w:t xml:space="preserve">ew </w:t>
      </w:r>
      <w:r w:rsidR="00BF6400" w:rsidRPr="00BF6400">
        <w:rPr>
          <w:rFonts w:ascii="Verdana" w:hAnsi="Verdana"/>
          <w:b/>
          <w:color w:val="0000CC"/>
          <w:sz w:val="22"/>
          <w:szCs w:val="22"/>
        </w:rPr>
        <w:t>V</w:t>
      </w:r>
      <w:r w:rsidR="00BF6400" w:rsidRPr="00BF6400">
        <w:rPr>
          <w:rFonts w:ascii="Verdana" w:hAnsi="Verdana"/>
          <w:b/>
          <w:color w:val="0000CC"/>
          <w:sz w:val="22"/>
          <w:szCs w:val="22"/>
        </w:rPr>
        <w:t>ersion of Colleague UI</w:t>
      </w:r>
      <w:r w:rsidRPr="00BF6400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330EC8" w:rsidRPr="00926A36" w:rsidRDefault="00B65BAC" w:rsidP="00C11F85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24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Sponsor: </w:t>
      </w:r>
      <w:r w:rsidR="00BF6400">
        <w:rPr>
          <w:rFonts w:ascii="Verdana" w:hAnsi="Verdana"/>
          <w:color w:val="000000" w:themeColor="text1"/>
          <w:sz w:val="22"/>
          <w:szCs w:val="22"/>
        </w:rPr>
        <w:t>Andy Chang</w:t>
      </w:r>
    </w:p>
    <w:p w:rsidR="00330EC8" w:rsidRPr="005139D4" w:rsidRDefault="00BF6400" w:rsidP="005139D4">
      <w:pPr>
        <w:pStyle w:val="ListParagraph"/>
        <w:numPr>
          <w:ilvl w:val="0"/>
          <w:numId w:val="42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Discussion</w:t>
      </w:r>
    </w:p>
    <w:p w:rsidR="00932F6B" w:rsidRDefault="00932F6B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color w:val="000000" w:themeColor="text1"/>
          <w:spacing w:val="15"/>
          <w:sz w:val="22"/>
          <w:szCs w:val="22"/>
        </w:rPr>
      </w:pPr>
    </w:p>
    <w:p w:rsidR="00B65BAC" w:rsidRDefault="00B65BAC">
      <w:pPr>
        <w:spacing w:before="0" w:after="160" w:line="259" w:lineRule="auto"/>
        <w:ind w:left="0"/>
        <w:rPr>
          <w:rFonts w:ascii="Verdana" w:hAnsi="Verdana"/>
          <w:b/>
          <w:color w:val="000000" w:themeColor="text1"/>
          <w:sz w:val="22"/>
          <w:szCs w:val="22"/>
        </w:rPr>
      </w:pPr>
    </w:p>
    <w:p w:rsidR="00B65BAC" w:rsidRPr="001D2E04" w:rsidRDefault="00B65BAC" w:rsidP="00B65BAC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480" w:after="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III</w:t>
      </w:r>
      <w:r w:rsidRPr="001D2E04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1D2E04" w:rsidRPr="00BF6400">
        <w:rPr>
          <w:rFonts w:ascii="Verdana" w:hAnsi="Verdana"/>
          <w:b/>
          <w:color w:val="0000CC"/>
          <w:sz w:val="22"/>
          <w:szCs w:val="22"/>
        </w:rPr>
        <w:t>C</w:t>
      </w:r>
      <w:r w:rsidR="001D2E04" w:rsidRPr="00BF6400">
        <w:rPr>
          <w:rFonts w:ascii="Verdana" w:hAnsi="Verdana"/>
          <w:b/>
          <w:color w:val="0000CC"/>
          <w:sz w:val="22"/>
          <w:szCs w:val="22"/>
        </w:rPr>
        <w:t xml:space="preserve">ourse </w:t>
      </w:r>
      <w:r w:rsidR="001D2E04" w:rsidRPr="00BF6400">
        <w:rPr>
          <w:rFonts w:ascii="Verdana" w:hAnsi="Verdana"/>
          <w:b/>
          <w:color w:val="0000CC"/>
          <w:sz w:val="22"/>
          <w:szCs w:val="22"/>
        </w:rPr>
        <w:t>R</w:t>
      </w:r>
      <w:r w:rsidR="001D2E04" w:rsidRPr="00BF6400">
        <w:rPr>
          <w:rFonts w:ascii="Verdana" w:hAnsi="Verdana"/>
          <w:b/>
          <w:color w:val="0000CC"/>
          <w:sz w:val="22"/>
          <w:szCs w:val="22"/>
        </w:rPr>
        <w:t xml:space="preserve">egistration from the </w:t>
      </w:r>
      <w:r w:rsidR="001D2E04" w:rsidRPr="00BF6400">
        <w:rPr>
          <w:rFonts w:ascii="Verdana" w:hAnsi="Verdana"/>
          <w:b/>
          <w:color w:val="0000CC"/>
          <w:sz w:val="22"/>
          <w:szCs w:val="22"/>
        </w:rPr>
        <w:t>E</w:t>
      </w:r>
      <w:r w:rsidR="001D2E04" w:rsidRPr="00BF6400">
        <w:rPr>
          <w:rFonts w:ascii="Verdana" w:hAnsi="Verdana"/>
          <w:b/>
          <w:color w:val="0000CC"/>
          <w:sz w:val="22"/>
          <w:szCs w:val="22"/>
        </w:rPr>
        <w:t xml:space="preserve">ducational </w:t>
      </w:r>
      <w:r w:rsidR="001D2E04" w:rsidRPr="00BF6400">
        <w:rPr>
          <w:rFonts w:ascii="Verdana" w:hAnsi="Verdana"/>
          <w:b/>
          <w:color w:val="0000CC"/>
          <w:sz w:val="22"/>
          <w:szCs w:val="22"/>
        </w:rPr>
        <w:t>P</w:t>
      </w:r>
      <w:r w:rsidR="001D2E04" w:rsidRPr="00BF6400">
        <w:rPr>
          <w:rFonts w:ascii="Verdana" w:hAnsi="Verdana"/>
          <w:b/>
          <w:color w:val="0000CC"/>
          <w:sz w:val="22"/>
          <w:szCs w:val="22"/>
        </w:rPr>
        <w:t>lan (Using the EPI tool)</w:t>
      </w:r>
      <w:r w:rsidRPr="001D2E04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B65BAC" w:rsidRDefault="00B65BAC" w:rsidP="00B65BAC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24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Sponsor: </w:t>
      </w:r>
      <w:r w:rsidR="005139D4">
        <w:rPr>
          <w:rFonts w:ascii="Verdana" w:hAnsi="Verdana"/>
          <w:color w:val="000000" w:themeColor="text1"/>
          <w:sz w:val="22"/>
          <w:szCs w:val="22"/>
        </w:rPr>
        <w:t xml:space="preserve">Robert </w:t>
      </w:r>
      <w:proofErr w:type="spellStart"/>
      <w:r w:rsidR="005139D4">
        <w:rPr>
          <w:rFonts w:ascii="Verdana" w:hAnsi="Verdana"/>
          <w:color w:val="000000" w:themeColor="text1"/>
          <w:sz w:val="22"/>
          <w:szCs w:val="22"/>
        </w:rPr>
        <w:t>McAtee</w:t>
      </w:r>
      <w:proofErr w:type="spellEnd"/>
      <w:r w:rsidRPr="00926A36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764594" w:rsidRPr="00764594" w:rsidRDefault="00764594" w:rsidP="00764594">
      <w:pPr>
        <w:pStyle w:val="ListParagraph"/>
        <w:numPr>
          <w:ilvl w:val="0"/>
          <w:numId w:val="41"/>
        </w:numPr>
        <w:rPr>
          <w:rFonts w:ascii="Verdana" w:hAnsi="Verdana"/>
          <w:color w:val="000000" w:themeColor="text1"/>
          <w:sz w:val="22"/>
          <w:szCs w:val="22"/>
        </w:rPr>
      </w:pPr>
      <w:r w:rsidRPr="00764594">
        <w:rPr>
          <w:rFonts w:ascii="Verdana" w:hAnsi="Verdana"/>
          <w:sz w:val="22"/>
          <w:szCs w:val="22"/>
        </w:rPr>
        <w:t xml:space="preserve">An option is on the table to bring in a third party group (N2N associates), vetted by Hobsons and State Tech Center, to help with the integration.  </w:t>
      </w:r>
      <w:r>
        <w:rPr>
          <w:rFonts w:ascii="Verdana" w:hAnsi="Verdana"/>
          <w:sz w:val="22"/>
          <w:szCs w:val="22"/>
        </w:rPr>
        <w:t xml:space="preserve">Robert </w:t>
      </w:r>
      <w:r w:rsidRPr="00764594">
        <w:rPr>
          <w:rFonts w:ascii="Verdana" w:hAnsi="Verdana"/>
          <w:sz w:val="22"/>
          <w:szCs w:val="22"/>
        </w:rPr>
        <w:t>presented the concerns to the State Tech Center and Hobsons.  This included TESS staffing challenges and where we are currently with Degree Planner implementation. </w:t>
      </w:r>
      <w:r w:rsidRPr="00764594">
        <w:rPr>
          <w:rFonts w:ascii="Verdana" w:hAnsi="Verdana"/>
          <w:sz w:val="22"/>
          <w:szCs w:val="22"/>
        </w:rPr>
        <w:t xml:space="preserve"> </w:t>
      </w:r>
    </w:p>
    <w:p w:rsidR="00764594" w:rsidRPr="00764594" w:rsidRDefault="00764594" w:rsidP="00764594">
      <w:pPr>
        <w:pStyle w:val="ListParagraph"/>
        <w:rPr>
          <w:rFonts w:ascii="Verdana" w:hAnsi="Verdana"/>
          <w:sz w:val="22"/>
          <w:szCs w:val="22"/>
        </w:rPr>
      </w:pPr>
    </w:p>
    <w:p w:rsidR="005139D4" w:rsidRPr="000E2A83" w:rsidRDefault="000E2A83" w:rsidP="000E2A83">
      <w:pPr>
        <w:pStyle w:val="ListParagraph"/>
        <w:numPr>
          <w:ilvl w:val="0"/>
          <w:numId w:val="41"/>
        </w:numPr>
        <w:rPr>
          <w:rFonts w:ascii="Verdana" w:eastAsiaTheme="minorHAnsi" w:hAnsi="Verdana"/>
          <w:sz w:val="22"/>
          <w:szCs w:val="22"/>
          <w:lang w:eastAsia="en-US"/>
        </w:rPr>
      </w:pPr>
      <w:r w:rsidRPr="000E2A83">
        <w:rPr>
          <w:rFonts w:ascii="Verdana" w:hAnsi="Verdana"/>
          <w:sz w:val="22"/>
          <w:szCs w:val="22"/>
        </w:rPr>
        <w:t>Hobsons and N2N</w:t>
      </w:r>
      <w:r w:rsidR="005139D4" w:rsidRPr="000E2A83">
        <w:rPr>
          <w:rFonts w:ascii="Verdana" w:hAnsi="Verdana"/>
          <w:sz w:val="22"/>
          <w:szCs w:val="22"/>
        </w:rPr>
        <w:t xml:space="preserve"> </w:t>
      </w:r>
      <w:r w:rsidRPr="000E2A83">
        <w:rPr>
          <w:rFonts w:ascii="Verdana" w:hAnsi="Verdana"/>
          <w:sz w:val="22"/>
          <w:szCs w:val="22"/>
        </w:rPr>
        <w:t>presented the following in response:</w:t>
      </w:r>
    </w:p>
    <w:p w:rsidR="005139D4" w:rsidRPr="005139D4" w:rsidRDefault="005139D4" w:rsidP="00553BC5">
      <w:pPr>
        <w:pStyle w:val="NoSpacing"/>
        <w:numPr>
          <w:ilvl w:val="0"/>
          <w:numId w:val="35"/>
        </w:numPr>
        <w:ind w:left="1080"/>
        <w:rPr>
          <w:rFonts w:ascii="Verdana" w:hAnsi="Verdana"/>
        </w:rPr>
      </w:pPr>
      <w:r w:rsidRPr="005139D4">
        <w:rPr>
          <w:rFonts w:ascii="Verdana" w:hAnsi="Verdana"/>
          <w:b/>
          <w:bCs/>
          <w:shd w:val="clear" w:color="auto" w:fill="FFFFFF"/>
        </w:rPr>
        <w:t>Phase 1 - Environment Setup </w:t>
      </w:r>
      <w:r w:rsidRPr="005139D4">
        <w:rPr>
          <w:rFonts w:ascii="Verdana" w:hAnsi="Verdana"/>
        </w:rPr>
        <w:br/>
      </w:r>
      <w:r w:rsidRPr="005139D4">
        <w:rPr>
          <w:rFonts w:ascii="Verdana" w:hAnsi="Verdana"/>
          <w:shd w:val="clear" w:color="auto" w:fill="FFFFFF"/>
        </w:rPr>
        <w:t>Activities - Routine items like making firewall rule changes, setting up a web server, and provisioning VPN access.</w:t>
      </w:r>
      <w:r w:rsidRPr="005139D4">
        <w:rPr>
          <w:rFonts w:ascii="Verdana" w:hAnsi="Verdana"/>
        </w:rPr>
        <w:br/>
      </w:r>
      <w:r w:rsidRPr="005139D4">
        <w:rPr>
          <w:rFonts w:ascii="Verdana" w:hAnsi="Verdana"/>
        </w:rPr>
        <w:br/>
      </w:r>
      <w:r w:rsidRPr="005139D4">
        <w:rPr>
          <w:rFonts w:ascii="Verdana" w:hAnsi="Verdana"/>
          <w:shd w:val="clear" w:color="auto" w:fill="FFFFFF"/>
        </w:rPr>
        <w:t>Required Staff - Network staff</w:t>
      </w:r>
      <w:r w:rsidRPr="005139D4">
        <w:rPr>
          <w:rFonts w:ascii="Verdana" w:hAnsi="Verdana"/>
        </w:rPr>
        <w:br/>
      </w:r>
      <w:r w:rsidRPr="005139D4">
        <w:rPr>
          <w:rFonts w:ascii="Verdana" w:hAnsi="Verdana"/>
          <w:shd w:val="clear" w:color="auto" w:fill="FFFFFF"/>
        </w:rPr>
        <w:t>Time with Normal Deployment Delays - This process usually takes about 2 weeks mostly as a function of the client's processes. </w:t>
      </w:r>
      <w:r w:rsidRPr="005139D4">
        <w:rPr>
          <w:rFonts w:ascii="Verdana" w:hAnsi="Verdana"/>
        </w:rPr>
        <w:br/>
      </w:r>
      <w:r w:rsidRPr="005139D4">
        <w:rPr>
          <w:rFonts w:ascii="Verdana" w:hAnsi="Verdana"/>
        </w:rPr>
        <w:br/>
      </w:r>
      <w:r w:rsidRPr="005139D4">
        <w:rPr>
          <w:rFonts w:ascii="Verdana" w:hAnsi="Verdana"/>
          <w:shd w:val="clear" w:color="auto" w:fill="FFFFFF"/>
        </w:rPr>
        <w:t>Time with no Process Delays - Usually less than 2-4 days. </w:t>
      </w:r>
    </w:p>
    <w:p w:rsidR="00553BC5" w:rsidRDefault="00553BC5" w:rsidP="00553BC5">
      <w:pPr>
        <w:pStyle w:val="NoSpacing"/>
        <w:ind w:left="720"/>
        <w:rPr>
          <w:rFonts w:ascii="Verdana" w:hAnsi="Verdana"/>
          <w:b/>
          <w:bCs/>
          <w:shd w:val="clear" w:color="auto" w:fill="FFFFFF"/>
        </w:rPr>
      </w:pPr>
    </w:p>
    <w:p w:rsidR="005139D4" w:rsidRPr="005139D4" w:rsidRDefault="005139D4" w:rsidP="00553BC5">
      <w:pPr>
        <w:pStyle w:val="NoSpacing"/>
        <w:numPr>
          <w:ilvl w:val="0"/>
          <w:numId w:val="35"/>
        </w:numPr>
        <w:ind w:left="1080"/>
        <w:rPr>
          <w:rFonts w:ascii="Verdana" w:hAnsi="Verdana"/>
        </w:rPr>
      </w:pPr>
      <w:r w:rsidRPr="005139D4">
        <w:rPr>
          <w:rFonts w:ascii="Verdana" w:hAnsi="Verdana"/>
          <w:b/>
          <w:bCs/>
          <w:shd w:val="clear" w:color="auto" w:fill="FFFFFF"/>
        </w:rPr>
        <w:t>Phase 2.- Illuminate Deployment (usually runs concurrent with Phase 1) </w:t>
      </w:r>
      <w:r w:rsidRPr="005139D4">
        <w:rPr>
          <w:rFonts w:ascii="Verdana" w:hAnsi="Verdana"/>
        </w:rPr>
        <w:br/>
      </w:r>
      <w:r w:rsidRPr="005139D4">
        <w:rPr>
          <w:rFonts w:ascii="Verdana" w:hAnsi="Verdana"/>
          <w:shd w:val="clear" w:color="auto" w:fill="FFFFFF"/>
        </w:rPr>
        <w:t xml:space="preserve">Activities - This is provisioning of SIS access, deployment of user creation script, deployment of SIS object creation scripts (views, arrays, </w:t>
      </w:r>
      <w:proofErr w:type="spellStart"/>
      <w:r w:rsidRPr="005139D4">
        <w:rPr>
          <w:rFonts w:ascii="Verdana" w:hAnsi="Verdana"/>
          <w:shd w:val="clear" w:color="auto" w:fill="FFFFFF"/>
        </w:rPr>
        <w:t>etc</w:t>
      </w:r>
      <w:proofErr w:type="spellEnd"/>
      <w:r w:rsidRPr="005139D4">
        <w:rPr>
          <w:rFonts w:ascii="Verdana" w:hAnsi="Verdana"/>
          <w:shd w:val="clear" w:color="auto" w:fill="FFFFFF"/>
        </w:rPr>
        <w:t>) </w:t>
      </w:r>
      <w:r w:rsidRPr="005139D4">
        <w:rPr>
          <w:rFonts w:ascii="Verdana" w:hAnsi="Verdana"/>
        </w:rPr>
        <w:br/>
      </w:r>
      <w:r w:rsidRPr="005139D4">
        <w:rPr>
          <w:rFonts w:ascii="Verdana" w:hAnsi="Verdana"/>
        </w:rPr>
        <w:br/>
      </w:r>
      <w:r w:rsidRPr="005139D4">
        <w:rPr>
          <w:rFonts w:ascii="Verdana" w:hAnsi="Verdana"/>
          <w:shd w:val="clear" w:color="auto" w:fill="FFFFFF"/>
        </w:rPr>
        <w:t>Required Staff - Usually a DBA or a Programmer/Analyst based on the Client organization and SIS.</w:t>
      </w:r>
      <w:r w:rsidRPr="005139D4">
        <w:rPr>
          <w:rFonts w:ascii="Verdana" w:hAnsi="Verdana"/>
        </w:rPr>
        <w:br/>
      </w:r>
      <w:r w:rsidRPr="005139D4">
        <w:rPr>
          <w:rFonts w:ascii="Verdana" w:hAnsi="Verdana"/>
        </w:rPr>
        <w:br/>
      </w:r>
      <w:r w:rsidRPr="005139D4">
        <w:rPr>
          <w:rFonts w:ascii="Verdana" w:hAnsi="Verdana"/>
          <w:shd w:val="clear" w:color="auto" w:fill="FFFFFF"/>
        </w:rPr>
        <w:t>Time with Normal Deployment Delays - This process typically takes 2-4 weeks depending on staff availability, environment availability and if we have to do any modifications to the scripts based on Client unique SIS attributes. </w:t>
      </w:r>
      <w:r w:rsidRPr="005139D4">
        <w:rPr>
          <w:rFonts w:ascii="Verdana" w:hAnsi="Verdana"/>
        </w:rPr>
        <w:br/>
      </w:r>
      <w:r w:rsidRPr="005139D4">
        <w:rPr>
          <w:rFonts w:ascii="Verdana" w:hAnsi="Verdana"/>
        </w:rPr>
        <w:br/>
      </w:r>
      <w:r w:rsidRPr="005139D4">
        <w:rPr>
          <w:rFonts w:ascii="Verdana" w:hAnsi="Verdana"/>
          <w:shd w:val="clear" w:color="auto" w:fill="FFFFFF"/>
        </w:rPr>
        <w:t>Time with no Process Delays - Usually 2-4 days. </w:t>
      </w:r>
    </w:p>
    <w:p w:rsidR="005139D4" w:rsidRDefault="005139D4" w:rsidP="00553BC5">
      <w:pPr>
        <w:pStyle w:val="NoSpacing"/>
        <w:ind w:left="360"/>
        <w:rPr>
          <w:rFonts w:ascii="Verdana" w:hAnsi="Verdana"/>
          <w:b/>
          <w:bCs/>
          <w:shd w:val="clear" w:color="auto" w:fill="FFFFFF"/>
        </w:rPr>
      </w:pPr>
    </w:p>
    <w:p w:rsidR="005139D4" w:rsidRPr="005139D4" w:rsidRDefault="005139D4" w:rsidP="00553BC5">
      <w:pPr>
        <w:pStyle w:val="NoSpacing"/>
        <w:numPr>
          <w:ilvl w:val="0"/>
          <w:numId w:val="35"/>
        </w:numPr>
        <w:ind w:left="1080"/>
        <w:rPr>
          <w:rFonts w:ascii="Verdana" w:hAnsi="Verdana" w:cs="Times New Roman"/>
        </w:rPr>
      </w:pPr>
      <w:r w:rsidRPr="005139D4">
        <w:rPr>
          <w:rFonts w:ascii="Verdana" w:hAnsi="Verdana"/>
          <w:b/>
          <w:bCs/>
          <w:shd w:val="clear" w:color="auto" w:fill="FFFFFF"/>
        </w:rPr>
        <w:t>Phase 3 - Illuminate Configuration -</w:t>
      </w:r>
      <w:r w:rsidRPr="005139D4">
        <w:rPr>
          <w:rFonts w:ascii="Verdana" w:hAnsi="Verdana"/>
          <w:shd w:val="clear" w:color="auto" w:fill="FFFFFF"/>
        </w:rPr>
        <w:t> </w:t>
      </w:r>
      <w:r w:rsidRPr="005139D4">
        <w:rPr>
          <w:rFonts w:ascii="Verdana" w:hAnsi="Verdana"/>
        </w:rPr>
        <w:br/>
      </w:r>
      <w:r w:rsidRPr="005139D4">
        <w:rPr>
          <w:rFonts w:ascii="Verdana" w:hAnsi="Verdana"/>
          <w:shd w:val="clear" w:color="auto" w:fill="FFFFFF"/>
        </w:rPr>
        <w:t>Activities - This is the UAT testing of scripts, API testing with test data, API script tweaking based on Client SIS deployment, etc. - </w:t>
      </w:r>
      <w:r w:rsidRPr="005139D4">
        <w:rPr>
          <w:rFonts w:ascii="Verdana" w:hAnsi="Verdana"/>
        </w:rPr>
        <w:br/>
      </w:r>
      <w:r w:rsidRPr="005139D4">
        <w:rPr>
          <w:rFonts w:ascii="Verdana" w:hAnsi="Verdana"/>
        </w:rPr>
        <w:br/>
      </w:r>
      <w:r w:rsidRPr="005139D4">
        <w:rPr>
          <w:rFonts w:ascii="Verdana" w:hAnsi="Verdana"/>
          <w:shd w:val="clear" w:color="auto" w:fill="FFFFFF"/>
        </w:rPr>
        <w:t>Required Staff - Client DBA, some institutions will involve a functional user or Registrar's office who will lead testing the registration process but some will do so just with the DBA or IT resource. </w:t>
      </w:r>
      <w:r w:rsidRPr="005139D4">
        <w:rPr>
          <w:rFonts w:ascii="Verdana" w:hAnsi="Verdana"/>
        </w:rPr>
        <w:br/>
      </w:r>
      <w:r w:rsidRPr="005139D4">
        <w:rPr>
          <w:rFonts w:ascii="Verdana" w:hAnsi="Verdana"/>
        </w:rPr>
        <w:br/>
      </w:r>
      <w:r w:rsidRPr="005139D4">
        <w:rPr>
          <w:rFonts w:ascii="Verdana" w:hAnsi="Verdana"/>
          <w:shd w:val="clear" w:color="auto" w:fill="FFFFFF"/>
        </w:rPr>
        <w:t>Time with Normal Deployment Delays - This process usually takes 4-6 weeks depending on staff availability.</w:t>
      </w:r>
      <w:r w:rsidRPr="005139D4">
        <w:rPr>
          <w:rFonts w:ascii="Verdana" w:hAnsi="Verdana"/>
        </w:rPr>
        <w:br/>
      </w:r>
      <w:r w:rsidRPr="005139D4">
        <w:rPr>
          <w:rFonts w:ascii="Verdana" w:hAnsi="Verdana"/>
        </w:rPr>
        <w:br/>
      </w:r>
      <w:r w:rsidRPr="005139D4">
        <w:rPr>
          <w:rFonts w:ascii="Verdana" w:hAnsi="Verdana"/>
          <w:shd w:val="clear" w:color="auto" w:fill="FFFFFF"/>
        </w:rPr>
        <w:t>Time with no Process Delays - Usually 6-8 days to ensure everything is working exactly correct. </w:t>
      </w:r>
      <w:r w:rsidRPr="005139D4">
        <w:rPr>
          <w:rFonts w:ascii="Verdana" w:hAnsi="Verdana"/>
        </w:rPr>
        <w:br/>
      </w:r>
      <w:r w:rsidRPr="005139D4">
        <w:rPr>
          <w:rFonts w:ascii="Verdana" w:hAnsi="Verdana"/>
        </w:rPr>
        <w:br/>
      </w:r>
      <w:r w:rsidRPr="005139D4">
        <w:rPr>
          <w:rFonts w:ascii="Verdana" w:hAnsi="Verdana"/>
          <w:shd w:val="clear" w:color="auto" w:fill="FFFFFF"/>
        </w:rPr>
        <w:t>Since some of the phases above can overlap, we estimate that the approximate timeframe for working with us to configure the two-way integration would be 6-9 weeks.</w:t>
      </w:r>
    </w:p>
    <w:p w:rsidR="005139D4" w:rsidRPr="005139D4" w:rsidRDefault="005139D4" w:rsidP="005139D4">
      <w:pPr>
        <w:pStyle w:val="NoSpacing"/>
        <w:rPr>
          <w:rFonts w:ascii="Verdana" w:hAnsi="Verdana"/>
        </w:rPr>
      </w:pPr>
    </w:p>
    <w:p w:rsidR="00764594" w:rsidRPr="00553BC5" w:rsidRDefault="00764594" w:rsidP="00764594">
      <w:pPr>
        <w:pStyle w:val="NoSpacing"/>
        <w:numPr>
          <w:ilvl w:val="0"/>
          <w:numId w:val="41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 xml:space="preserve">Would like to know if </w:t>
      </w:r>
      <w:r w:rsidRPr="00553BC5">
        <w:rPr>
          <w:rFonts w:ascii="Verdana" w:hAnsi="Verdana"/>
        </w:rPr>
        <w:t xml:space="preserve">DAWG </w:t>
      </w:r>
      <w:r>
        <w:rPr>
          <w:rFonts w:ascii="Verdana" w:hAnsi="Verdana"/>
        </w:rPr>
        <w:t xml:space="preserve">is </w:t>
      </w:r>
      <w:r w:rsidRPr="00553BC5">
        <w:rPr>
          <w:rFonts w:ascii="Verdana" w:hAnsi="Verdana"/>
        </w:rPr>
        <w:t xml:space="preserve">open to at least hearing a presentation from Hobsons and N2N on what they have that would </w:t>
      </w:r>
      <w:r w:rsidRPr="00553BC5">
        <w:rPr>
          <w:rFonts w:ascii="Verdana" w:hAnsi="Verdana"/>
          <w:i/>
          <w:color w:val="C00000"/>
        </w:rPr>
        <w:t xml:space="preserve">allow students to register for courses from the </w:t>
      </w:r>
      <w:r w:rsidR="00B402D1">
        <w:rPr>
          <w:rFonts w:ascii="Verdana" w:hAnsi="Verdana"/>
          <w:i/>
          <w:color w:val="C00000"/>
        </w:rPr>
        <w:t>E</w:t>
      </w:r>
      <w:r w:rsidRPr="00553BC5">
        <w:rPr>
          <w:rFonts w:ascii="Verdana" w:hAnsi="Verdana"/>
          <w:i/>
          <w:color w:val="C00000"/>
        </w:rPr>
        <w:t xml:space="preserve">d </w:t>
      </w:r>
      <w:r w:rsidR="00B402D1">
        <w:rPr>
          <w:rFonts w:ascii="Verdana" w:hAnsi="Verdana"/>
          <w:i/>
          <w:color w:val="C00000"/>
        </w:rPr>
        <w:t>P</w:t>
      </w:r>
      <w:r w:rsidRPr="00553BC5">
        <w:rPr>
          <w:rFonts w:ascii="Verdana" w:hAnsi="Verdana"/>
          <w:i/>
          <w:color w:val="C00000"/>
        </w:rPr>
        <w:t>lan</w:t>
      </w:r>
      <w:r w:rsidRPr="00553BC5">
        <w:rPr>
          <w:rFonts w:ascii="Verdana" w:hAnsi="Verdana"/>
          <w:color w:val="000000" w:themeColor="text1"/>
        </w:rPr>
        <w:t xml:space="preserve">.  </w:t>
      </w:r>
    </w:p>
    <w:p w:rsidR="00FA0EE5" w:rsidRPr="005139D4" w:rsidRDefault="00FA0EE5" w:rsidP="005139D4">
      <w:pPr>
        <w:pStyle w:val="NoSpacing"/>
        <w:rPr>
          <w:rFonts w:ascii="Verdana" w:hAnsi="Verdana"/>
          <w:color w:val="000000" w:themeColor="text1"/>
        </w:rPr>
      </w:pPr>
    </w:p>
    <w:p w:rsidR="00330EC8" w:rsidRPr="005139D4" w:rsidRDefault="00330EC8" w:rsidP="00C3230E">
      <w:pPr>
        <w:spacing w:before="0" w:after="16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5B6698" w:rsidRPr="00D05571" w:rsidRDefault="00BB206A" w:rsidP="005B6698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bookmarkStart w:id="0" w:name="_GoBack"/>
      <w:bookmarkEnd w:id="0"/>
      <w:r w:rsidR="00330EC8">
        <w:rPr>
          <w:rFonts w:ascii="Verdana" w:hAnsi="Verdana"/>
          <w:b/>
          <w:color w:val="000000" w:themeColor="text1"/>
          <w:sz w:val="22"/>
          <w:szCs w:val="22"/>
        </w:rPr>
        <w:t>V</w:t>
      </w:r>
      <w:r w:rsidR="005B6698"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5B6698" w:rsidRPr="00D05571">
        <w:rPr>
          <w:rFonts w:ascii="Verdana" w:hAnsi="Verdana"/>
          <w:b/>
          <w:color w:val="0000CC"/>
          <w:sz w:val="22"/>
          <w:szCs w:val="22"/>
        </w:rPr>
        <w:t>Miscellaneous</w:t>
      </w:r>
      <w:r w:rsidR="005B6698"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  <w:r w:rsidR="005B6698"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5B6698" w:rsidRDefault="005B6698" w:rsidP="005B6698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7A5EF8" w:rsidRDefault="007A5EF8" w:rsidP="005B6698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5B6698" w:rsidRDefault="005B6698" w:rsidP="005B6698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5B6698" w:rsidRDefault="005B6698" w:rsidP="005B6698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5B6698" w:rsidRPr="00A30BC6" w:rsidRDefault="005B6698" w:rsidP="005B6698">
      <w:pPr>
        <w:pStyle w:val="Subtitle"/>
        <w:spacing w:before="240" w:after="120"/>
        <w:rPr>
          <w:rFonts w:ascii="Verdana" w:hAnsi="Verdana"/>
          <w:color w:val="C00000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lastRenderedPageBreak/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Pr="00D05571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B65BAC">
        <w:rPr>
          <w:rFonts w:ascii="Verdana" w:hAnsi="Verdana"/>
          <w:color w:val="000000" w:themeColor="text1"/>
          <w:sz w:val="22"/>
          <w:szCs w:val="22"/>
        </w:rPr>
        <w:t>November 8</w:t>
      </w:r>
      <w:r w:rsidRPr="00D05571">
        <w:rPr>
          <w:rFonts w:ascii="Verdana" w:hAnsi="Verdana"/>
          <w:color w:val="000000" w:themeColor="text1"/>
          <w:sz w:val="22"/>
          <w:szCs w:val="22"/>
        </w:rPr>
        <w:t>, 2017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CC72A8">
        <w:rPr>
          <w:rFonts w:ascii="Verdana" w:hAnsi="Verdana"/>
          <w:color w:val="0000CC"/>
          <w:sz w:val="22"/>
          <w:szCs w:val="22"/>
        </w:rPr>
        <w:t>(2:30 pm – 4:30 pm)</w:t>
      </w:r>
    </w:p>
    <w:p w:rsidR="005B6698" w:rsidRPr="00D05571" w:rsidRDefault="005B6698" w:rsidP="005B6698">
      <w:pPr>
        <w:spacing w:before="0" w:after="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5B6698" w:rsidRDefault="005B6698" w:rsidP="005B6698">
      <w:pPr>
        <w:spacing w:before="0" w:after="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D05571" w:rsidRDefault="00D05571" w:rsidP="00AB1BBB">
      <w:pPr>
        <w:spacing w:before="0" w:after="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6C09D0" w:rsidRDefault="006C09D0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B75610" w:rsidRDefault="00B75610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DAWG “Parking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2893"/>
        <w:gridCol w:w="3600"/>
        <w:gridCol w:w="3960"/>
      </w:tblGrid>
      <w:tr w:rsidR="005336CE" w:rsidRPr="00D05571" w:rsidTr="00E131F5">
        <w:tc>
          <w:tcPr>
            <w:tcW w:w="2893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600" w:type="dxa"/>
            <w:shd w:val="clear" w:color="auto" w:fill="FFFF00"/>
          </w:tcPr>
          <w:p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960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131F5" w:rsidRPr="00D05571" w:rsidTr="00E131F5">
        <w:tc>
          <w:tcPr>
            <w:tcW w:w="2893" w:type="dxa"/>
          </w:tcPr>
          <w:p w:rsidR="00E131F5" w:rsidRPr="00E131F5" w:rsidRDefault="00E131F5" w:rsidP="00E131F5">
            <w:pPr>
              <w:pStyle w:val="NoSpacing"/>
              <w:rPr>
                <w:rFonts w:ascii="Verdana" w:hAnsi="Verdana"/>
              </w:rPr>
            </w:pPr>
            <w:r w:rsidRPr="00E131F5">
              <w:rPr>
                <w:rFonts w:ascii="Verdana" w:hAnsi="Verdana"/>
              </w:rPr>
              <w:t xml:space="preserve">EPI Steering Committee </w:t>
            </w:r>
          </w:p>
        </w:tc>
        <w:tc>
          <w:tcPr>
            <w:tcW w:w="3600" w:type="dxa"/>
          </w:tcPr>
          <w:p w:rsidR="00E131F5" w:rsidRPr="00E131F5" w:rsidRDefault="00E131F5" w:rsidP="00CC6CF6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Hobson’s Starfish </w:t>
            </w:r>
            <w:r w:rsidR="00CC6CF6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Early Alert </w:t>
            </w: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and Degree Plann</w:t>
            </w:r>
            <w:r w:rsidR="00CC6CF6">
              <w:rPr>
                <w:rFonts w:ascii="Verdana" w:hAnsi="Verdana"/>
                <w:color w:val="000000" w:themeColor="text1"/>
                <w:sz w:val="22"/>
                <w:szCs w:val="22"/>
              </w:rPr>
              <w:t>er</w:t>
            </w:r>
          </w:p>
        </w:tc>
        <w:tc>
          <w:tcPr>
            <w:tcW w:w="3960" w:type="dxa"/>
          </w:tcPr>
          <w:p w:rsidR="00E131F5" w:rsidRPr="00E131F5" w:rsidRDefault="00E131F5" w:rsidP="00E131F5">
            <w:pPr>
              <w:pStyle w:val="NoSpacing"/>
              <w:rPr>
                <w:rFonts w:ascii="Verdana" w:hAnsi="Verdana"/>
                <w:color w:val="000000" w:themeColor="text1"/>
              </w:rPr>
            </w:pPr>
            <w:r w:rsidRPr="00E131F5">
              <w:rPr>
                <w:rFonts w:ascii="Verdana" w:hAnsi="Verdana"/>
              </w:rPr>
              <w:t xml:space="preserve">Robert </w:t>
            </w:r>
            <w:proofErr w:type="spellStart"/>
            <w:r w:rsidRPr="00E131F5">
              <w:rPr>
                <w:rFonts w:ascii="Verdana" w:hAnsi="Verdana"/>
              </w:rPr>
              <w:t>McAtee</w:t>
            </w:r>
            <w:proofErr w:type="spellEnd"/>
            <w:r w:rsidRPr="00E131F5">
              <w:rPr>
                <w:rFonts w:ascii="Verdana" w:hAnsi="Verdana"/>
              </w:rPr>
              <w:t>, Yancie Carter, Kristina Heilgeist, Michael Aquino</w:t>
            </w:r>
          </w:p>
        </w:tc>
      </w:tr>
      <w:tr w:rsidR="00BD172D" w:rsidRPr="00D05571" w:rsidTr="00E131F5">
        <w:tc>
          <w:tcPr>
            <w:tcW w:w="2893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96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</w:tbl>
    <w:p w:rsidR="0095427A" w:rsidRPr="00DA22B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95427A" w:rsidRPr="00DA22BA" w:rsidSect="00932F6B">
      <w:headerReference w:type="default" r:id="rId9"/>
      <w:footerReference w:type="default" r:id="rId10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4F31E6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4F31E6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4F31E6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</w:t>
        </w:r>
        <w:proofErr w:type="spellStart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WorkGroup</w:t>
        </w:r>
        <w:proofErr w:type="spellEnd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873AB5">
      <w:rPr>
        <w:rFonts w:ascii="Antique Olive Roman" w:hAnsi="Antique Olive Roman"/>
        <w:b/>
        <w:i/>
        <w:color w:val="0000CC"/>
        <w:sz w:val="22"/>
        <w:szCs w:val="22"/>
      </w:rPr>
      <w:t xml:space="preserve">October </w:t>
    </w:r>
    <w:r w:rsidR="00B65BAC">
      <w:rPr>
        <w:rFonts w:ascii="Antique Olive Roman" w:hAnsi="Antique Olive Roman"/>
        <w:b/>
        <w:i/>
        <w:color w:val="0000CC"/>
        <w:sz w:val="22"/>
        <w:szCs w:val="22"/>
      </w:rPr>
      <w:t>25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2</w:t>
    </w:r>
    <w:r w:rsidR="0041685D">
      <w:rPr>
        <w:rFonts w:ascii="Antique Olive Roman" w:hAnsi="Antique Olive Roman"/>
        <w:b/>
        <w:i/>
        <w:color w:val="0000CC"/>
        <w:sz w:val="22"/>
        <w:szCs w:val="22"/>
      </w:rPr>
      <w:t>: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30 PM -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503"/>
    <w:multiLevelType w:val="hybridMultilevel"/>
    <w:tmpl w:val="AF7EFEF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92A3154"/>
    <w:multiLevelType w:val="hybridMultilevel"/>
    <w:tmpl w:val="334EA7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15523"/>
    <w:multiLevelType w:val="hybridMultilevel"/>
    <w:tmpl w:val="D60ACC54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D7F7B40"/>
    <w:multiLevelType w:val="hybridMultilevel"/>
    <w:tmpl w:val="3EF49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15BF"/>
    <w:multiLevelType w:val="hybridMultilevel"/>
    <w:tmpl w:val="F72018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6341C"/>
    <w:multiLevelType w:val="hybridMultilevel"/>
    <w:tmpl w:val="AB7C5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72A13"/>
    <w:multiLevelType w:val="hybridMultilevel"/>
    <w:tmpl w:val="CDB0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0B73"/>
    <w:multiLevelType w:val="hybridMultilevel"/>
    <w:tmpl w:val="09A0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A5175"/>
    <w:multiLevelType w:val="hybridMultilevel"/>
    <w:tmpl w:val="8EB2BE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8047E"/>
    <w:multiLevelType w:val="hybridMultilevel"/>
    <w:tmpl w:val="032C2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C52B61"/>
    <w:multiLevelType w:val="hybridMultilevel"/>
    <w:tmpl w:val="621E73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DE3E0A"/>
    <w:multiLevelType w:val="hybridMultilevel"/>
    <w:tmpl w:val="9C5C005A"/>
    <w:lvl w:ilvl="0" w:tplc="44C0051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D418D"/>
    <w:multiLevelType w:val="hybridMultilevel"/>
    <w:tmpl w:val="16003D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2A7F00"/>
    <w:multiLevelType w:val="hybridMultilevel"/>
    <w:tmpl w:val="938E5B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0D77B1"/>
    <w:multiLevelType w:val="hybridMultilevel"/>
    <w:tmpl w:val="355ED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962AB"/>
    <w:multiLevelType w:val="hybridMultilevel"/>
    <w:tmpl w:val="206E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72334"/>
    <w:multiLevelType w:val="hybridMultilevel"/>
    <w:tmpl w:val="62D4E0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C954B6"/>
    <w:multiLevelType w:val="hybridMultilevel"/>
    <w:tmpl w:val="246A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957E7"/>
    <w:multiLevelType w:val="hybridMultilevel"/>
    <w:tmpl w:val="FC4A67D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753F5A"/>
    <w:multiLevelType w:val="hybridMultilevel"/>
    <w:tmpl w:val="1E4C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3309E"/>
    <w:multiLevelType w:val="hybridMultilevel"/>
    <w:tmpl w:val="8EAA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04832"/>
    <w:multiLevelType w:val="hybridMultilevel"/>
    <w:tmpl w:val="54A00220"/>
    <w:lvl w:ilvl="0" w:tplc="54A82B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85B18"/>
    <w:multiLevelType w:val="hybridMultilevel"/>
    <w:tmpl w:val="ECCAA97A"/>
    <w:lvl w:ilvl="0" w:tplc="C71069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C451F"/>
    <w:multiLevelType w:val="hybridMultilevel"/>
    <w:tmpl w:val="12C427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ED48B6"/>
    <w:multiLevelType w:val="hybridMultilevel"/>
    <w:tmpl w:val="9FE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424F1"/>
    <w:multiLevelType w:val="hybridMultilevel"/>
    <w:tmpl w:val="D9DC5B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DD67B1"/>
    <w:multiLevelType w:val="hybridMultilevel"/>
    <w:tmpl w:val="5DFE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851E1"/>
    <w:multiLevelType w:val="hybridMultilevel"/>
    <w:tmpl w:val="E702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C1D9C"/>
    <w:multiLevelType w:val="hybridMultilevel"/>
    <w:tmpl w:val="8A60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D05D0"/>
    <w:multiLevelType w:val="hybridMultilevel"/>
    <w:tmpl w:val="30E0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C99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76C1E"/>
    <w:multiLevelType w:val="hybridMultilevel"/>
    <w:tmpl w:val="765C1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260F8"/>
    <w:multiLevelType w:val="multilevel"/>
    <w:tmpl w:val="870A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67334C"/>
    <w:multiLevelType w:val="hybridMultilevel"/>
    <w:tmpl w:val="54FC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F1847"/>
    <w:multiLevelType w:val="hybridMultilevel"/>
    <w:tmpl w:val="47D2CE02"/>
    <w:lvl w:ilvl="0" w:tplc="CB2832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36D47"/>
    <w:multiLevelType w:val="hybridMultilevel"/>
    <w:tmpl w:val="5204F65E"/>
    <w:lvl w:ilvl="0" w:tplc="00E6B8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F089F"/>
    <w:multiLevelType w:val="hybridMultilevel"/>
    <w:tmpl w:val="F7F87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5F71CC"/>
    <w:multiLevelType w:val="hybridMultilevel"/>
    <w:tmpl w:val="EF1815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3533C0"/>
    <w:multiLevelType w:val="hybridMultilevel"/>
    <w:tmpl w:val="393068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9B60CB"/>
    <w:multiLevelType w:val="hybridMultilevel"/>
    <w:tmpl w:val="A54CEA14"/>
    <w:lvl w:ilvl="0" w:tplc="54F46AF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5F0BB7"/>
    <w:multiLevelType w:val="hybridMultilevel"/>
    <w:tmpl w:val="5EFA0A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96F7368"/>
    <w:multiLevelType w:val="hybridMultilevel"/>
    <w:tmpl w:val="EC309326"/>
    <w:lvl w:ilvl="0" w:tplc="EDE8676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79853B84"/>
    <w:multiLevelType w:val="hybridMultilevel"/>
    <w:tmpl w:val="F5B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9"/>
  </w:num>
  <w:num w:numId="4">
    <w:abstractNumId w:val="5"/>
  </w:num>
  <w:num w:numId="5">
    <w:abstractNumId w:val="25"/>
  </w:num>
  <w:num w:numId="6">
    <w:abstractNumId w:val="4"/>
  </w:num>
  <w:num w:numId="7">
    <w:abstractNumId w:val="39"/>
  </w:num>
  <w:num w:numId="8">
    <w:abstractNumId w:val="22"/>
  </w:num>
  <w:num w:numId="9">
    <w:abstractNumId w:val="19"/>
  </w:num>
  <w:num w:numId="10">
    <w:abstractNumId w:val="18"/>
  </w:num>
  <w:num w:numId="11">
    <w:abstractNumId w:val="31"/>
  </w:num>
  <w:num w:numId="12">
    <w:abstractNumId w:val="16"/>
  </w:num>
  <w:num w:numId="13">
    <w:abstractNumId w:val="10"/>
  </w:num>
  <w:num w:numId="14">
    <w:abstractNumId w:val="14"/>
  </w:num>
  <w:num w:numId="15">
    <w:abstractNumId w:val="36"/>
  </w:num>
  <w:num w:numId="16">
    <w:abstractNumId w:val="1"/>
  </w:num>
  <w:num w:numId="17">
    <w:abstractNumId w:val="13"/>
  </w:num>
  <w:num w:numId="18">
    <w:abstractNumId w:val="17"/>
  </w:num>
  <w:num w:numId="19">
    <w:abstractNumId w:val="8"/>
  </w:num>
  <w:num w:numId="20">
    <w:abstractNumId w:val="7"/>
  </w:num>
  <w:num w:numId="21">
    <w:abstractNumId w:val="23"/>
  </w:num>
  <w:num w:numId="22">
    <w:abstractNumId w:val="2"/>
  </w:num>
  <w:num w:numId="23">
    <w:abstractNumId w:val="21"/>
  </w:num>
  <w:num w:numId="24">
    <w:abstractNumId w:val="41"/>
  </w:num>
  <w:num w:numId="25">
    <w:abstractNumId w:val="40"/>
  </w:num>
  <w:num w:numId="26">
    <w:abstractNumId w:val="27"/>
  </w:num>
  <w:num w:numId="27">
    <w:abstractNumId w:val="12"/>
  </w:num>
  <w:num w:numId="28">
    <w:abstractNumId w:val="9"/>
  </w:num>
  <w:num w:numId="29">
    <w:abstractNumId w:val="33"/>
  </w:num>
  <w:num w:numId="30">
    <w:abstractNumId w:val="34"/>
  </w:num>
  <w:num w:numId="31">
    <w:abstractNumId w:val="0"/>
  </w:num>
  <w:num w:numId="32">
    <w:abstractNumId w:val="3"/>
  </w:num>
  <w:num w:numId="33">
    <w:abstractNumId w:val="38"/>
  </w:num>
  <w:num w:numId="34">
    <w:abstractNumId w:val="15"/>
  </w:num>
  <w:num w:numId="35">
    <w:abstractNumId w:val="30"/>
  </w:num>
  <w:num w:numId="36">
    <w:abstractNumId w:val="37"/>
  </w:num>
  <w:num w:numId="37">
    <w:abstractNumId w:val="20"/>
  </w:num>
  <w:num w:numId="38">
    <w:abstractNumId w:val="6"/>
  </w:num>
  <w:num w:numId="39">
    <w:abstractNumId w:val="26"/>
  </w:num>
  <w:num w:numId="40">
    <w:abstractNumId w:val="11"/>
  </w:num>
  <w:num w:numId="41">
    <w:abstractNumId w:val="28"/>
  </w:num>
  <w:num w:numId="42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4E89"/>
    <w:rsid w:val="00006E46"/>
    <w:rsid w:val="000203E4"/>
    <w:rsid w:val="000268A0"/>
    <w:rsid w:val="0003619A"/>
    <w:rsid w:val="00040A06"/>
    <w:rsid w:val="00056CCC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825AC"/>
    <w:rsid w:val="000952DA"/>
    <w:rsid w:val="0009532C"/>
    <w:rsid w:val="000A4087"/>
    <w:rsid w:val="000A76CB"/>
    <w:rsid w:val="000B2179"/>
    <w:rsid w:val="000B2C9A"/>
    <w:rsid w:val="000C57D3"/>
    <w:rsid w:val="000D0683"/>
    <w:rsid w:val="000E2A83"/>
    <w:rsid w:val="000E74AC"/>
    <w:rsid w:val="001035C1"/>
    <w:rsid w:val="00104084"/>
    <w:rsid w:val="00106250"/>
    <w:rsid w:val="00120BA2"/>
    <w:rsid w:val="00123422"/>
    <w:rsid w:val="001251C3"/>
    <w:rsid w:val="00131FAF"/>
    <w:rsid w:val="0013410C"/>
    <w:rsid w:val="00135ED7"/>
    <w:rsid w:val="00137345"/>
    <w:rsid w:val="001504A9"/>
    <w:rsid w:val="0015743B"/>
    <w:rsid w:val="00160AF5"/>
    <w:rsid w:val="001641EA"/>
    <w:rsid w:val="00164D8C"/>
    <w:rsid w:val="00167BE0"/>
    <w:rsid w:val="001732A5"/>
    <w:rsid w:val="00183932"/>
    <w:rsid w:val="001915DE"/>
    <w:rsid w:val="00194E73"/>
    <w:rsid w:val="00197284"/>
    <w:rsid w:val="0019796A"/>
    <w:rsid w:val="001A6800"/>
    <w:rsid w:val="001B7571"/>
    <w:rsid w:val="001C560C"/>
    <w:rsid w:val="001C5682"/>
    <w:rsid w:val="001D2E04"/>
    <w:rsid w:val="001D6DB8"/>
    <w:rsid w:val="001E4702"/>
    <w:rsid w:val="001F1F56"/>
    <w:rsid w:val="001F763C"/>
    <w:rsid w:val="001F7AC0"/>
    <w:rsid w:val="00201871"/>
    <w:rsid w:val="002024CE"/>
    <w:rsid w:val="00205763"/>
    <w:rsid w:val="002057A5"/>
    <w:rsid w:val="002101AF"/>
    <w:rsid w:val="002116B9"/>
    <w:rsid w:val="00212AA3"/>
    <w:rsid w:val="0021383F"/>
    <w:rsid w:val="00217DAD"/>
    <w:rsid w:val="002219E6"/>
    <w:rsid w:val="00221FA0"/>
    <w:rsid w:val="002252BF"/>
    <w:rsid w:val="002254B5"/>
    <w:rsid w:val="00233925"/>
    <w:rsid w:val="002504AA"/>
    <w:rsid w:val="0026316F"/>
    <w:rsid w:val="00273D08"/>
    <w:rsid w:val="0028200F"/>
    <w:rsid w:val="00294AD8"/>
    <w:rsid w:val="002B76D3"/>
    <w:rsid w:val="002C176B"/>
    <w:rsid w:val="002C42CF"/>
    <w:rsid w:val="002C4AE7"/>
    <w:rsid w:val="002D3CC5"/>
    <w:rsid w:val="002D4119"/>
    <w:rsid w:val="002E0441"/>
    <w:rsid w:val="002F1663"/>
    <w:rsid w:val="002F5CDE"/>
    <w:rsid w:val="00300235"/>
    <w:rsid w:val="00312763"/>
    <w:rsid w:val="00317127"/>
    <w:rsid w:val="003226FE"/>
    <w:rsid w:val="00324844"/>
    <w:rsid w:val="003253A0"/>
    <w:rsid w:val="00325EA5"/>
    <w:rsid w:val="003307B3"/>
    <w:rsid w:val="00330EC8"/>
    <w:rsid w:val="00337171"/>
    <w:rsid w:val="00340D51"/>
    <w:rsid w:val="00342042"/>
    <w:rsid w:val="00346EF3"/>
    <w:rsid w:val="00354EA4"/>
    <w:rsid w:val="00356CB7"/>
    <w:rsid w:val="0036047E"/>
    <w:rsid w:val="00366A5B"/>
    <w:rsid w:val="00367F3B"/>
    <w:rsid w:val="00382165"/>
    <w:rsid w:val="003928F3"/>
    <w:rsid w:val="00396883"/>
    <w:rsid w:val="003A125E"/>
    <w:rsid w:val="003A19FE"/>
    <w:rsid w:val="003A5417"/>
    <w:rsid w:val="003B08DA"/>
    <w:rsid w:val="003B5711"/>
    <w:rsid w:val="003C2A32"/>
    <w:rsid w:val="003C2B6A"/>
    <w:rsid w:val="003C39B7"/>
    <w:rsid w:val="003D2C03"/>
    <w:rsid w:val="003E4DDC"/>
    <w:rsid w:val="003E6D72"/>
    <w:rsid w:val="003F2734"/>
    <w:rsid w:val="003F49AE"/>
    <w:rsid w:val="004011C9"/>
    <w:rsid w:val="00402D39"/>
    <w:rsid w:val="00404371"/>
    <w:rsid w:val="00405415"/>
    <w:rsid w:val="00405EFA"/>
    <w:rsid w:val="0041685D"/>
    <w:rsid w:val="0042359F"/>
    <w:rsid w:val="00433B09"/>
    <w:rsid w:val="00441BF4"/>
    <w:rsid w:val="00441C4B"/>
    <w:rsid w:val="00445252"/>
    <w:rsid w:val="0046314B"/>
    <w:rsid w:val="00463BF9"/>
    <w:rsid w:val="004728F9"/>
    <w:rsid w:val="00487414"/>
    <w:rsid w:val="004909A3"/>
    <w:rsid w:val="00495C59"/>
    <w:rsid w:val="004A0878"/>
    <w:rsid w:val="004A3BCF"/>
    <w:rsid w:val="004B1C47"/>
    <w:rsid w:val="004B265E"/>
    <w:rsid w:val="004B51BB"/>
    <w:rsid w:val="004D1196"/>
    <w:rsid w:val="004E31F8"/>
    <w:rsid w:val="004E75A0"/>
    <w:rsid w:val="004F0954"/>
    <w:rsid w:val="004F31E6"/>
    <w:rsid w:val="005019E0"/>
    <w:rsid w:val="00501CA2"/>
    <w:rsid w:val="0050640E"/>
    <w:rsid w:val="0050784F"/>
    <w:rsid w:val="005139D4"/>
    <w:rsid w:val="00515D44"/>
    <w:rsid w:val="00527372"/>
    <w:rsid w:val="005336CE"/>
    <w:rsid w:val="00536FF0"/>
    <w:rsid w:val="00541DF1"/>
    <w:rsid w:val="0054288C"/>
    <w:rsid w:val="00544025"/>
    <w:rsid w:val="0054512D"/>
    <w:rsid w:val="00546AA7"/>
    <w:rsid w:val="0054708E"/>
    <w:rsid w:val="0055086F"/>
    <w:rsid w:val="00553BC5"/>
    <w:rsid w:val="0055716E"/>
    <w:rsid w:val="00566BBF"/>
    <w:rsid w:val="00573E49"/>
    <w:rsid w:val="00575DF9"/>
    <w:rsid w:val="00586581"/>
    <w:rsid w:val="00591BC6"/>
    <w:rsid w:val="005A1CD4"/>
    <w:rsid w:val="005A2069"/>
    <w:rsid w:val="005B38D9"/>
    <w:rsid w:val="005B6698"/>
    <w:rsid w:val="005C17F0"/>
    <w:rsid w:val="005E6535"/>
    <w:rsid w:val="005F6825"/>
    <w:rsid w:val="00622CC5"/>
    <w:rsid w:val="00632D63"/>
    <w:rsid w:val="00642979"/>
    <w:rsid w:val="0065373E"/>
    <w:rsid w:val="00653D90"/>
    <w:rsid w:val="00680C6E"/>
    <w:rsid w:val="00681162"/>
    <w:rsid w:val="00687519"/>
    <w:rsid w:val="00697A23"/>
    <w:rsid w:val="006A3717"/>
    <w:rsid w:val="006A480E"/>
    <w:rsid w:val="006C09D0"/>
    <w:rsid w:val="006D0186"/>
    <w:rsid w:val="006D082E"/>
    <w:rsid w:val="006D4F95"/>
    <w:rsid w:val="006D55F0"/>
    <w:rsid w:val="006D5720"/>
    <w:rsid w:val="006D5F40"/>
    <w:rsid w:val="006E306A"/>
    <w:rsid w:val="0070522C"/>
    <w:rsid w:val="0070652B"/>
    <w:rsid w:val="0071267A"/>
    <w:rsid w:val="007142F1"/>
    <w:rsid w:val="0072167F"/>
    <w:rsid w:val="00723E74"/>
    <w:rsid w:val="007256E7"/>
    <w:rsid w:val="007267FB"/>
    <w:rsid w:val="00732C06"/>
    <w:rsid w:val="00733352"/>
    <w:rsid w:val="0073342C"/>
    <w:rsid w:val="00734CA0"/>
    <w:rsid w:val="00755952"/>
    <w:rsid w:val="00756E4C"/>
    <w:rsid w:val="00756F03"/>
    <w:rsid w:val="00763030"/>
    <w:rsid w:val="00764594"/>
    <w:rsid w:val="00784F58"/>
    <w:rsid w:val="00785152"/>
    <w:rsid w:val="00787131"/>
    <w:rsid w:val="00797004"/>
    <w:rsid w:val="00797AF7"/>
    <w:rsid w:val="007A2711"/>
    <w:rsid w:val="007A4BA9"/>
    <w:rsid w:val="007A5EF8"/>
    <w:rsid w:val="007B4305"/>
    <w:rsid w:val="007B777B"/>
    <w:rsid w:val="007D1A02"/>
    <w:rsid w:val="007D2C25"/>
    <w:rsid w:val="007D6A98"/>
    <w:rsid w:val="007D784E"/>
    <w:rsid w:val="007E0D9B"/>
    <w:rsid w:val="007E5DA5"/>
    <w:rsid w:val="007F11D9"/>
    <w:rsid w:val="007F19BF"/>
    <w:rsid w:val="007F3EA2"/>
    <w:rsid w:val="0080598B"/>
    <w:rsid w:val="00817E1B"/>
    <w:rsid w:val="00821A3A"/>
    <w:rsid w:val="0082239D"/>
    <w:rsid w:val="008227B3"/>
    <w:rsid w:val="00832342"/>
    <w:rsid w:val="008408EB"/>
    <w:rsid w:val="008432C3"/>
    <w:rsid w:val="00844C59"/>
    <w:rsid w:val="00850602"/>
    <w:rsid w:val="00856B0E"/>
    <w:rsid w:val="0086070F"/>
    <w:rsid w:val="00862B67"/>
    <w:rsid w:val="00870806"/>
    <w:rsid w:val="00873AB5"/>
    <w:rsid w:val="00874739"/>
    <w:rsid w:val="00874BC1"/>
    <w:rsid w:val="00882864"/>
    <w:rsid w:val="00884655"/>
    <w:rsid w:val="00884A7B"/>
    <w:rsid w:val="00896AED"/>
    <w:rsid w:val="008A1E03"/>
    <w:rsid w:val="008A4A89"/>
    <w:rsid w:val="008A6F44"/>
    <w:rsid w:val="008C10A0"/>
    <w:rsid w:val="008C2A93"/>
    <w:rsid w:val="008C5011"/>
    <w:rsid w:val="008D0F12"/>
    <w:rsid w:val="008D4DEA"/>
    <w:rsid w:val="008D5A59"/>
    <w:rsid w:val="008E1C59"/>
    <w:rsid w:val="008E20E7"/>
    <w:rsid w:val="008F7421"/>
    <w:rsid w:val="00905EB0"/>
    <w:rsid w:val="00910CE6"/>
    <w:rsid w:val="009128EE"/>
    <w:rsid w:val="009240AA"/>
    <w:rsid w:val="00924428"/>
    <w:rsid w:val="009251D3"/>
    <w:rsid w:val="00926A36"/>
    <w:rsid w:val="00932F6B"/>
    <w:rsid w:val="0094735E"/>
    <w:rsid w:val="0095427A"/>
    <w:rsid w:val="00956DB5"/>
    <w:rsid w:val="009613EA"/>
    <w:rsid w:val="009637E8"/>
    <w:rsid w:val="0097303B"/>
    <w:rsid w:val="00975309"/>
    <w:rsid w:val="00996776"/>
    <w:rsid w:val="00996830"/>
    <w:rsid w:val="009A3A77"/>
    <w:rsid w:val="009B3194"/>
    <w:rsid w:val="009B3A39"/>
    <w:rsid w:val="009B5379"/>
    <w:rsid w:val="009B6169"/>
    <w:rsid w:val="009C7AFB"/>
    <w:rsid w:val="009D1C73"/>
    <w:rsid w:val="009D2569"/>
    <w:rsid w:val="009D43E1"/>
    <w:rsid w:val="009E005F"/>
    <w:rsid w:val="009E265B"/>
    <w:rsid w:val="009E39C8"/>
    <w:rsid w:val="009F5BD3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331DC"/>
    <w:rsid w:val="00A40731"/>
    <w:rsid w:val="00A44B4D"/>
    <w:rsid w:val="00A45BA8"/>
    <w:rsid w:val="00A507D4"/>
    <w:rsid w:val="00A510C3"/>
    <w:rsid w:val="00A54D4B"/>
    <w:rsid w:val="00A55038"/>
    <w:rsid w:val="00A72136"/>
    <w:rsid w:val="00A839CC"/>
    <w:rsid w:val="00A91004"/>
    <w:rsid w:val="00A91580"/>
    <w:rsid w:val="00A9287E"/>
    <w:rsid w:val="00A93F8D"/>
    <w:rsid w:val="00A941E8"/>
    <w:rsid w:val="00A965D8"/>
    <w:rsid w:val="00AA5169"/>
    <w:rsid w:val="00AB1BBB"/>
    <w:rsid w:val="00AB69E9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B020EB"/>
    <w:rsid w:val="00B03862"/>
    <w:rsid w:val="00B0455B"/>
    <w:rsid w:val="00B16E8F"/>
    <w:rsid w:val="00B2360D"/>
    <w:rsid w:val="00B23AE7"/>
    <w:rsid w:val="00B24C21"/>
    <w:rsid w:val="00B26F61"/>
    <w:rsid w:val="00B37A2D"/>
    <w:rsid w:val="00B402D1"/>
    <w:rsid w:val="00B50DBD"/>
    <w:rsid w:val="00B53B2D"/>
    <w:rsid w:val="00B656FA"/>
    <w:rsid w:val="00B65BAC"/>
    <w:rsid w:val="00B72057"/>
    <w:rsid w:val="00B73CA7"/>
    <w:rsid w:val="00B75610"/>
    <w:rsid w:val="00B85287"/>
    <w:rsid w:val="00B859A0"/>
    <w:rsid w:val="00B9360F"/>
    <w:rsid w:val="00BB206A"/>
    <w:rsid w:val="00BC1006"/>
    <w:rsid w:val="00BD172D"/>
    <w:rsid w:val="00BD49D4"/>
    <w:rsid w:val="00BD59D9"/>
    <w:rsid w:val="00BE71D1"/>
    <w:rsid w:val="00BF6400"/>
    <w:rsid w:val="00BF7039"/>
    <w:rsid w:val="00C0567A"/>
    <w:rsid w:val="00C06EEC"/>
    <w:rsid w:val="00C11281"/>
    <w:rsid w:val="00C11F85"/>
    <w:rsid w:val="00C17EA3"/>
    <w:rsid w:val="00C2394A"/>
    <w:rsid w:val="00C24100"/>
    <w:rsid w:val="00C25FB0"/>
    <w:rsid w:val="00C3230E"/>
    <w:rsid w:val="00C33EB7"/>
    <w:rsid w:val="00C4114E"/>
    <w:rsid w:val="00C44312"/>
    <w:rsid w:val="00C466A9"/>
    <w:rsid w:val="00C5137C"/>
    <w:rsid w:val="00C517BD"/>
    <w:rsid w:val="00C62FBA"/>
    <w:rsid w:val="00C66E6F"/>
    <w:rsid w:val="00C81168"/>
    <w:rsid w:val="00C847ED"/>
    <w:rsid w:val="00C874C5"/>
    <w:rsid w:val="00C91AB0"/>
    <w:rsid w:val="00C92DDF"/>
    <w:rsid w:val="00C9687C"/>
    <w:rsid w:val="00CB1693"/>
    <w:rsid w:val="00CC040E"/>
    <w:rsid w:val="00CC4182"/>
    <w:rsid w:val="00CC6CF6"/>
    <w:rsid w:val="00CC72A8"/>
    <w:rsid w:val="00CD0DB7"/>
    <w:rsid w:val="00CD1494"/>
    <w:rsid w:val="00CD24A2"/>
    <w:rsid w:val="00CD5C63"/>
    <w:rsid w:val="00CE1A9B"/>
    <w:rsid w:val="00CE2EB8"/>
    <w:rsid w:val="00CF0C0D"/>
    <w:rsid w:val="00CF3967"/>
    <w:rsid w:val="00CF5C21"/>
    <w:rsid w:val="00CF79C7"/>
    <w:rsid w:val="00D01B6A"/>
    <w:rsid w:val="00D05571"/>
    <w:rsid w:val="00D06CE5"/>
    <w:rsid w:val="00D10259"/>
    <w:rsid w:val="00D149AE"/>
    <w:rsid w:val="00D164AC"/>
    <w:rsid w:val="00D35065"/>
    <w:rsid w:val="00D41D9F"/>
    <w:rsid w:val="00D4706C"/>
    <w:rsid w:val="00D6091C"/>
    <w:rsid w:val="00D64359"/>
    <w:rsid w:val="00D670BB"/>
    <w:rsid w:val="00D71A68"/>
    <w:rsid w:val="00D75335"/>
    <w:rsid w:val="00D77486"/>
    <w:rsid w:val="00D821AE"/>
    <w:rsid w:val="00D83043"/>
    <w:rsid w:val="00D95338"/>
    <w:rsid w:val="00DA22BA"/>
    <w:rsid w:val="00DA4829"/>
    <w:rsid w:val="00DB328A"/>
    <w:rsid w:val="00DC64FD"/>
    <w:rsid w:val="00DD017C"/>
    <w:rsid w:val="00DD4BAE"/>
    <w:rsid w:val="00DE4027"/>
    <w:rsid w:val="00DE46D1"/>
    <w:rsid w:val="00DF3F92"/>
    <w:rsid w:val="00DF63F6"/>
    <w:rsid w:val="00E00466"/>
    <w:rsid w:val="00E049DF"/>
    <w:rsid w:val="00E131F5"/>
    <w:rsid w:val="00E24611"/>
    <w:rsid w:val="00E336E3"/>
    <w:rsid w:val="00E43BB8"/>
    <w:rsid w:val="00E45F15"/>
    <w:rsid w:val="00E473A8"/>
    <w:rsid w:val="00E53F10"/>
    <w:rsid w:val="00E541A1"/>
    <w:rsid w:val="00E74EA9"/>
    <w:rsid w:val="00E75E21"/>
    <w:rsid w:val="00E82809"/>
    <w:rsid w:val="00E82E76"/>
    <w:rsid w:val="00E83D96"/>
    <w:rsid w:val="00E90DBE"/>
    <w:rsid w:val="00EA2153"/>
    <w:rsid w:val="00EB7F88"/>
    <w:rsid w:val="00EC5481"/>
    <w:rsid w:val="00EC681F"/>
    <w:rsid w:val="00ED4367"/>
    <w:rsid w:val="00ED66B4"/>
    <w:rsid w:val="00EE26C1"/>
    <w:rsid w:val="00EF04F5"/>
    <w:rsid w:val="00EF3DAA"/>
    <w:rsid w:val="00F0090C"/>
    <w:rsid w:val="00F01B78"/>
    <w:rsid w:val="00F0441B"/>
    <w:rsid w:val="00F14114"/>
    <w:rsid w:val="00F146FC"/>
    <w:rsid w:val="00F264E4"/>
    <w:rsid w:val="00F265FE"/>
    <w:rsid w:val="00F3174A"/>
    <w:rsid w:val="00F445CA"/>
    <w:rsid w:val="00F51FF3"/>
    <w:rsid w:val="00F616A8"/>
    <w:rsid w:val="00F64E84"/>
    <w:rsid w:val="00F65547"/>
    <w:rsid w:val="00F665AE"/>
    <w:rsid w:val="00F67BB5"/>
    <w:rsid w:val="00F711D5"/>
    <w:rsid w:val="00F71822"/>
    <w:rsid w:val="00F849EF"/>
    <w:rsid w:val="00F86DD9"/>
    <w:rsid w:val="00FA04FF"/>
    <w:rsid w:val="00FA06B9"/>
    <w:rsid w:val="00FA0EE5"/>
    <w:rsid w:val="00FB47A0"/>
    <w:rsid w:val="00FE0789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BA009-7499-4C91-A9BB-B495D33B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70</cp:revision>
  <cp:lastPrinted>2017-01-25T21:51:00Z</cp:lastPrinted>
  <dcterms:created xsi:type="dcterms:W3CDTF">2017-08-08T18:03:00Z</dcterms:created>
  <dcterms:modified xsi:type="dcterms:W3CDTF">2017-10-25T18:13:00Z</dcterms:modified>
</cp:coreProperties>
</file>