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63" w:rsidRPr="00D76C8D" w:rsidRDefault="00520D63" w:rsidP="00D76C8D">
      <w:pPr>
        <w:pStyle w:val="NoSpacing"/>
        <w:spacing w:after="240"/>
        <w:rPr>
          <w:rFonts w:ascii="Verdana" w:hAnsi="Verdana"/>
        </w:rPr>
      </w:pPr>
      <w:r w:rsidRPr="00D76C8D">
        <w:rPr>
          <w:rFonts w:ascii="Verdana" w:hAnsi="Verdana"/>
        </w:rPr>
        <w:t xml:space="preserve">The </w:t>
      </w:r>
      <w:r w:rsidR="0021628A">
        <w:rPr>
          <w:rFonts w:ascii="Verdana" w:hAnsi="Verdana"/>
        </w:rPr>
        <w:t xml:space="preserve">June </w:t>
      </w:r>
      <w:r w:rsidR="00F93E99">
        <w:rPr>
          <w:rFonts w:ascii="Verdana" w:hAnsi="Verdana"/>
        </w:rPr>
        <w:t>13</w:t>
      </w:r>
      <w:r w:rsidR="00D46CBC" w:rsidRPr="00D46CBC">
        <w:rPr>
          <w:rFonts w:ascii="Verdana" w:hAnsi="Verdana"/>
          <w:vertAlign w:val="superscript"/>
        </w:rPr>
        <w:t>th</w:t>
      </w:r>
      <w:r w:rsidR="00D46CBC">
        <w:rPr>
          <w:rFonts w:ascii="Verdana" w:hAnsi="Verdana"/>
        </w:rPr>
        <w:t xml:space="preserve"> </w:t>
      </w:r>
      <w:r w:rsidRPr="00D76C8D">
        <w:rPr>
          <w:rFonts w:ascii="Verdana" w:hAnsi="Verdana"/>
        </w:rPr>
        <w:t>DAWG meeting was held in the Annex Training Room with the following discussions and individuals in attendance (*=</w:t>
      </w:r>
      <w:r w:rsidR="00B9585B" w:rsidRPr="00D76C8D">
        <w:rPr>
          <w:rFonts w:ascii="Verdana" w:hAnsi="Verdana"/>
        </w:rPr>
        <w:t>v</w:t>
      </w:r>
      <w:r w:rsidRPr="00D76C8D">
        <w:rPr>
          <w:rFonts w:ascii="Verdana" w:hAnsi="Verdana"/>
          <w:i/>
        </w:rPr>
        <w:t>ia CCC Confer</w:t>
      </w:r>
      <w:r w:rsidRPr="00D76C8D">
        <w:rPr>
          <w:rFonts w:ascii="Verdana" w:hAnsi="Verdana"/>
        </w:rPr>
        <w:t>)</w:t>
      </w:r>
    </w:p>
    <w:p w:rsidR="00520D63" w:rsidRPr="00D76C8D" w:rsidRDefault="00520D63" w:rsidP="00D76C8D">
      <w:pPr>
        <w:pStyle w:val="NoSpacing"/>
        <w:rPr>
          <w:rFonts w:ascii="Verdana" w:hAnsi="Verdana"/>
          <w:i/>
          <w:color w:val="000000" w:themeColor="text1"/>
        </w:rPr>
      </w:pPr>
      <w:r w:rsidRPr="00D76C8D">
        <w:rPr>
          <w:rFonts w:ascii="Verdana" w:hAnsi="Verdana"/>
          <w:i/>
          <w:color w:val="000000" w:themeColor="text1"/>
        </w:rPr>
        <w:t>Attendance</w:t>
      </w:r>
      <w:r w:rsidR="00702BD4" w:rsidRPr="00D76C8D">
        <w:rPr>
          <w:rFonts w:ascii="Verdana" w:hAnsi="Verdana"/>
          <w:i/>
          <w:color w:val="000000" w:themeColor="text1"/>
        </w:rPr>
        <w:t xml:space="preserve"> </w:t>
      </w:r>
      <w:r w:rsidR="00702BD4" w:rsidRPr="00D76C8D">
        <w:rPr>
          <w:rStyle w:val="FootnoteReference"/>
          <w:rFonts w:ascii="Verdana" w:hAnsi="Verdana"/>
          <w:i/>
          <w:color w:val="000000" w:themeColor="text1"/>
        </w:rPr>
        <w:footnoteReference w:id="1"/>
      </w:r>
      <w:r w:rsidRPr="00D76C8D">
        <w:rPr>
          <w:rFonts w:ascii="Verdana" w:hAnsi="Verdana"/>
          <w:i/>
          <w:color w:val="000000" w:themeColor="text1"/>
        </w:rPr>
        <w:t xml:space="preserve"> </w:t>
      </w:r>
    </w:p>
    <w:tbl>
      <w:tblPr>
        <w:tblStyle w:val="TableGrid"/>
        <w:tblW w:w="0" w:type="auto"/>
        <w:tblInd w:w="-5" w:type="dxa"/>
        <w:tblLook w:val="04A0" w:firstRow="1" w:lastRow="0" w:firstColumn="1" w:lastColumn="0" w:noHBand="0" w:noVBand="1"/>
      </w:tblPr>
      <w:tblGrid>
        <w:gridCol w:w="1080"/>
        <w:gridCol w:w="8670"/>
      </w:tblGrid>
      <w:tr w:rsidR="00D76C8D" w:rsidRPr="00D76C8D" w:rsidTr="00834F02">
        <w:tc>
          <w:tcPr>
            <w:tcW w:w="1080" w:type="dxa"/>
          </w:tcPr>
          <w:p w:rsidR="00D76C8D" w:rsidRPr="00D76C8D" w:rsidRDefault="00D76C8D" w:rsidP="000437D9">
            <w:pPr>
              <w:pStyle w:val="NoSpacing"/>
              <w:spacing w:before="60" w:after="60"/>
              <w:rPr>
                <w:rFonts w:ascii="Verdana" w:hAnsi="Verdana"/>
              </w:rPr>
            </w:pPr>
            <w:r w:rsidRPr="00D76C8D">
              <w:rPr>
                <w:rFonts w:ascii="Verdana" w:hAnsi="Verdana"/>
              </w:rPr>
              <w:t>Crafton</w:t>
            </w:r>
          </w:p>
        </w:tc>
        <w:tc>
          <w:tcPr>
            <w:tcW w:w="8670" w:type="dxa"/>
          </w:tcPr>
          <w:p w:rsidR="0093524D" w:rsidRPr="00D76C8D" w:rsidRDefault="00D76C8D" w:rsidP="00374082">
            <w:pPr>
              <w:pStyle w:val="NoSpacing"/>
              <w:spacing w:before="60"/>
              <w:rPr>
                <w:rFonts w:ascii="Verdana" w:hAnsi="Verdana"/>
              </w:rPr>
            </w:pPr>
            <w:r w:rsidRPr="00D76C8D">
              <w:rPr>
                <w:rFonts w:ascii="Verdana" w:hAnsi="Verdana"/>
              </w:rPr>
              <w:t>Kristina Heilgeist,</w:t>
            </w:r>
            <w:r w:rsidR="002E78FF">
              <w:rPr>
                <w:rFonts w:ascii="Verdana" w:hAnsi="Verdana"/>
              </w:rPr>
              <w:t xml:space="preserve"> </w:t>
            </w:r>
            <w:r w:rsidR="00C65B44">
              <w:rPr>
                <w:rFonts w:ascii="Verdana" w:hAnsi="Verdana"/>
              </w:rPr>
              <w:t xml:space="preserve">*Kristi  Simonson, </w:t>
            </w:r>
            <w:r w:rsidR="002E78FF">
              <w:rPr>
                <w:rFonts w:ascii="Verdana" w:hAnsi="Verdana"/>
              </w:rPr>
              <w:t>Larry Aycock</w:t>
            </w:r>
            <w:r w:rsidR="0093524D">
              <w:rPr>
                <w:rFonts w:ascii="Verdana" w:hAnsi="Verdana"/>
              </w:rPr>
              <w:t>,</w:t>
            </w:r>
            <w:r w:rsidR="00374082">
              <w:rPr>
                <w:rFonts w:ascii="Verdana" w:hAnsi="Verdana"/>
              </w:rPr>
              <w:t xml:space="preserve"> *Reyna Uribe, </w:t>
            </w:r>
            <w:r w:rsidR="0093524D">
              <w:rPr>
                <w:rFonts w:ascii="Verdana" w:hAnsi="Verdana"/>
              </w:rPr>
              <w:t>*</w:t>
            </w:r>
            <w:r w:rsidR="00374082">
              <w:rPr>
                <w:rFonts w:ascii="Verdana" w:hAnsi="Verdana"/>
              </w:rPr>
              <w:t>Steven Rush</w:t>
            </w:r>
          </w:p>
        </w:tc>
      </w:tr>
      <w:tr w:rsidR="00D76C8D" w:rsidRPr="00D76C8D" w:rsidTr="00834F02">
        <w:tc>
          <w:tcPr>
            <w:tcW w:w="1080" w:type="dxa"/>
          </w:tcPr>
          <w:p w:rsidR="00D76C8D" w:rsidRPr="00D76C8D" w:rsidRDefault="00D76C8D" w:rsidP="000437D9">
            <w:pPr>
              <w:pStyle w:val="NoSpacing"/>
              <w:spacing w:before="60" w:after="60"/>
              <w:rPr>
                <w:rFonts w:ascii="Verdana" w:hAnsi="Verdana"/>
              </w:rPr>
            </w:pPr>
            <w:r w:rsidRPr="00D76C8D">
              <w:rPr>
                <w:rFonts w:ascii="Verdana" w:hAnsi="Verdana"/>
              </w:rPr>
              <w:t>Valley</w:t>
            </w:r>
          </w:p>
        </w:tc>
        <w:tc>
          <w:tcPr>
            <w:tcW w:w="8670" w:type="dxa"/>
          </w:tcPr>
          <w:p w:rsidR="00D76C8D" w:rsidRPr="00D76C8D" w:rsidRDefault="00D76C8D" w:rsidP="00374082">
            <w:pPr>
              <w:pStyle w:val="NoSpacing"/>
              <w:spacing w:before="60" w:after="60"/>
              <w:rPr>
                <w:rFonts w:ascii="Verdana" w:hAnsi="Verdana"/>
              </w:rPr>
            </w:pPr>
            <w:r w:rsidRPr="00D76C8D">
              <w:rPr>
                <w:rFonts w:ascii="Verdana" w:hAnsi="Verdana"/>
              </w:rPr>
              <w:t xml:space="preserve">*April Dale-Carter, *Corrina Baber, </w:t>
            </w:r>
            <w:r w:rsidR="00C65B44">
              <w:rPr>
                <w:rFonts w:ascii="Verdana" w:hAnsi="Verdana"/>
              </w:rPr>
              <w:t xml:space="preserve">*Jason Alvarez, *Julie Ann Ulloa, </w:t>
            </w:r>
            <w:r w:rsidR="00374082">
              <w:rPr>
                <w:rFonts w:ascii="Verdana" w:hAnsi="Verdana"/>
              </w:rPr>
              <w:t xml:space="preserve">*Kristin Garcia, *Linda Molina, </w:t>
            </w:r>
            <w:r w:rsidR="002E78FF" w:rsidRPr="00D76C8D">
              <w:rPr>
                <w:rFonts w:ascii="Verdana" w:hAnsi="Verdana"/>
              </w:rPr>
              <w:t>*</w:t>
            </w:r>
            <w:r w:rsidR="002E78FF">
              <w:rPr>
                <w:rFonts w:ascii="Verdana" w:hAnsi="Verdana"/>
              </w:rPr>
              <w:t>Steven Silva</w:t>
            </w:r>
          </w:p>
        </w:tc>
      </w:tr>
      <w:tr w:rsidR="00D76C8D" w:rsidRPr="00D76C8D" w:rsidTr="00834F02">
        <w:tc>
          <w:tcPr>
            <w:tcW w:w="1080" w:type="dxa"/>
          </w:tcPr>
          <w:p w:rsidR="00D76C8D" w:rsidRPr="00D76C8D" w:rsidRDefault="00D76C8D" w:rsidP="000437D9">
            <w:pPr>
              <w:pStyle w:val="NoSpacing"/>
              <w:spacing w:before="60" w:after="60"/>
              <w:rPr>
                <w:rFonts w:ascii="Verdana" w:hAnsi="Verdana"/>
              </w:rPr>
            </w:pPr>
            <w:r w:rsidRPr="00D76C8D">
              <w:rPr>
                <w:rFonts w:ascii="Verdana" w:hAnsi="Verdana"/>
              </w:rPr>
              <w:t>Annex</w:t>
            </w:r>
          </w:p>
        </w:tc>
        <w:tc>
          <w:tcPr>
            <w:tcW w:w="8670" w:type="dxa"/>
          </w:tcPr>
          <w:p w:rsidR="00D76C8D" w:rsidRPr="00D76C8D" w:rsidRDefault="00D76C8D" w:rsidP="00374082">
            <w:pPr>
              <w:pStyle w:val="NoSpacing"/>
              <w:spacing w:before="60"/>
              <w:rPr>
                <w:rFonts w:ascii="Verdana" w:hAnsi="Verdana"/>
              </w:rPr>
            </w:pPr>
            <w:r w:rsidRPr="00D76C8D">
              <w:rPr>
                <w:rFonts w:ascii="Verdana" w:hAnsi="Verdana"/>
              </w:rPr>
              <w:t xml:space="preserve">Andy Chang, DyAnn Walter, *Jason Brady, Joanna Crisostomo, </w:t>
            </w:r>
            <w:r w:rsidR="00FA6D8E">
              <w:rPr>
                <w:rFonts w:ascii="Verdana" w:hAnsi="Verdana"/>
              </w:rPr>
              <w:t xml:space="preserve">Joe Ho, </w:t>
            </w:r>
            <w:r w:rsidRPr="00D76C8D">
              <w:rPr>
                <w:rFonts w:ascii="Verdana" w:hAnsi="Verdana"/>
              </w:rPr>
              <w:t>Joyce Bond, *Michael Aquino, Robert (Brock) Scudder</w:t>
            </w:r>
          </w:p>
        </w:tc>
      </w:tr>
    </w:tbl>
    <w:p w:rsidR="00520D63" w:rsidRPr="00D76C8D" w:rsidRDefault="00520D63" w:rsidP="00D76C8D">
      <w:pPr>
        <w:pStyle w:val="NoSpacing"/>
        <w:rPr>
          <w:rFonts w:ascii="Verdana" w:hAnsi="Verdana"/>
        </w:rPr>
      </w:pPr>
    </w:p>
    <w:p w:rsidR="00DE6FAD" w:rsidRPr="00D76C8D" w:rsidRDefault="00DE6FAD" w:rsidP="00D76C8D">
      <w:pPr>
        <w:pStyle w:val="NoSpacing"/>
        <w:rPr>
          <w:rFonts w:ascii="Verdana" w:hAnsi="Verdana"/>
        </w:rPr>
      </w:pPr>
    </w:p>
    <w:p w:rsidR="0039345B" w:rsidRPr="00EE37EE" w:rsidRDefault="000F40B0" w:rsidP="0039345B">
      <w:pPr>
        <w:pStyle w:val="IntenseQuote"/>
        <w:pBdr>
          <w:bottom w:val="single" w:sz="4" w:space="17" w:color="5B9BD5" w:themeColor="accent1"/>
        </w:pBdr>
        <w:spacing w:after="120"/>
        <w:ind w:left="90" w:right="144"/>
        <w:rPr>
          <w:rFonts w:ascii="Verdana" w:hAnsi="Verdana"/>
          <w:b/>
          <w:i w:val="0"/>
          <w:color w:val="000000" w:themeColor="text1"/>
          <w:sz w:val="24"/>
          <w:szCs w:val="24"/>
        </w:rPr>
      </w:pPr>
      <w:r w:rsidRPr="000F40B0">
        <w:rPr>
          <w:rFonts w:ascii="Verdana" w:hAnsi="Verdana"/>
          <w:b/>
          <w:color w:val="0000CC"/>
          <w:sz w:val="24"/>
          <w:szCs w:val="24"/>
        </w:rPr>
        <w:t xml:space="preserve"> </w:t>
      </w:r>
      <w:r w:rsidR="0040252B">
        <w:rPr>
          <w:rFonts w:ascii="Verdana" w:hAnsi="Verdana"/>
          <w:b/>
          <w:color w:val="0000CC"/>
          <w:sz w:val="24"/>
          <w:szCs w:val="24"/>
        </w:rPr>
        <w:t xml:space="preserve">New </w:t>
      </w:r>
      <w:r w:rsidRPr="00595031">
        <w:rPr>
          <w:rFonts w:ascii="Verdana" w:hAnsi="Verdana"/>
          <w:b/>
          <w:color w:val="0000CC"/>
          <w:sz w:val="24"/>
          <w:szCs w:val="24"/>
        </w:rPr>
        <w:t>DAWG Chairperson</w:t>
      </w:r>
    </w:p>
    <w:p w:rsidR="0039345B" w:rsidRPr="00417AAC" w:rsidRDefault="0039345B" w:rsidP="009B510D">
      <w:pPr>
        <w:pStyle w:val="NoSpacing"/>
        <w:spacing w:before="240" w:after="240"/>
        <w:rPr>
          <w:rFonts w:ascii="Verdana" w:hAnsi="Verdana"/>
          <w:i/>
          <w:color w:val="0000CC"/>
        </w:rPr>
      </w:pPr>
      <w:r w:rsidRPr="00417AAC">
        <w:rPr>
          <w:rFonts w:ascii="Verdana" w:hAnsi="Verdana"/>
          <w:i/>
          <w:color w:val="0000CC"/>
        </w:rPr>
        <w:t>Sponsor</w:t>
      </w:r>
      <w:r w:rsidR="0021628A">
        <w:rPr>
          <w:rFonts w:ascii="Verdana" w:hAnsi="Verdana"/>
          <w:i/>
          <w:color w:val="0000CC"/>
        </w:rPr>
        <w:t>:</w:t>
      </w:r>
      <w:r w:rsidRPr="00417AAC">
        <w:rPr>
          <w:rFonts w:ascii="Verdana" w:hAnsi="Verdana"/>
          <w:i/>
          <w:color w:val="0000CC"/>
        </w:rPr>
        <w:t xml:space="preserve"> </w:t>
      </w:r>
      <w:r w:rsidR="000F40B0" w:rsidRPr="005C0EA1">
        <w:rPr>
          <w:rFonts w:ascii="Verdana" w:hAnsi="Verdana"/>
          <w:i/>
          <w:color w:val="000000" w:themeColor="text1"/>
        </w:rPr>
        <w:t xml:space="preserve">Joyce Bond </w:t>
      </w:r>
    </w:p>
    <w:p w:rsidR="000F40B0" w:rsidRPr="00650FD3" w:rsidRDefault="000F40B0" w:rsidP="005C0EA1">
      <w:pPr>
        <w:pStyle w:val="NoSpacing"/>
        <w:rPr>
          <w:rFonts w:ascii="Verdana" w:hAnsi="Verdana"/>
          <w:color w:val="000000" w:themeColor="text1"/>
        </w:rPr>
      </w:pPr>
      <w:r>
        <w:rPr>
          <w:rFonts w:ascii="Verdana" w:hAnsi="Verdana"/>
          <w:color w:val="000000" w:themeColor="text1"/>
        </w:rPr>
        <w:t xml:space="preserve">Transitioning to Joe Ho, </w:t>
      </w:r>
      <w:r w:rsidRPr="00650FD3">
        <w:rPr>
          <w:rFonts w:ascii="Verdana" w:hAnsi="Verdana"/>
          <w:color w:val="C00000"/>
        </w:rPr>
        <w:t>effective July 1, 2018</w:t>
      </w:r>
      <w:r w:rsidRPr="00650FD3">
        <w:rPr>
          <w:rFonts w:ascii="Verdana" w:hAnsi="Verdana"/>
          <w:color w:val="000000" w:themeColor="text1"/>
        </w:rPr>
        <w:t>.</w:t>
      </w:r>
    </w:p>
    <w:p w:rsidR="000F40B0" w:rsidRDefault="000F40B0" w:rsidP="000F40B0">
      <w:pPr>
        <w:pStyle w:val="NoSpacing"/>
        <w:spacing w:after="120"/>
        <w:ind w:left="360"/>
        <w:rPr>
          <w:rFonts w:ascii="Verdana" w:hAnsi="Verdana"/>
          <w:i/>
          <w:color w:val="0000CC"/>
        </w:rPr>
      </w:pPr>
    </w:p>
    <w:p w:rsidR="009B510D" w:rsidRPr="00B87A8E" w:rsidRDefault="009B510D" w:rsidP="00B87A8E">
      <w:pPr>
        <w:pStyle w:val="NoSpacing"/>
        <w:spacing w:after="120"/>
        <w:ind w:left="288"/>
        <w:rPr>
          <w:rFonts w:ascii="Verdana" w:hAnsi="Verdana"/>
          <w:color w:val="000000" w:themeColor="text1"/>
        </w:rPr>
      </w:pPr>
    </w:p>
    <w:p w:rsidR="008E43D0" w:rsidRPr="00EE37EE" w:rsidRDefault="005C0EA1" w:rsidP="008E43D0">
      <w:pPr>
        <w:pStyle w:val="IntenseQuote"/>
        <w:pBdr>
          <w:bottom w:val="single" w:sz="4" w:space="17" w:color="5B9BD5" w:themeColor="accent1"/>
        </w:pBdr>
        <w:spacing w:after="120"/>
        <w:ind w:left="90" w:right="144"/>
        <w:rPr>
          <w:rFonts w:ascii="Verdana" w:hAnsi="Verdana"/>
          <w:b/>
          <w:i w:val="0"/>
          <w:color w:val="000000" w:themeColor="text1"/>
          <w:sz w:val="24"/>
          <w:szCs w:val="24"/>
        </w:rPr>
      </w:pPr>
      <w:r w:rsidRPr="005D2CF0">
        <w:rPr>
          <w:rFonts w:ascii="Verdana" w:hAnsi="Verdana"/>
          <w:b/>
          <w:color w:val="0000CC"/>
          <w:sz w:val="24"/>
          <w:szCs w:val="24"/>
        </w:rPr>
        <w:t>Posting through SACD and NEQV</w:t>
      </w:r>
    </w:p>
    <w:p w:rsidR="00D46CBC" w:rsidRPr="005C0EA1" w:rsidRDefault="008E43D0" w:rsidP="005C0EA1">
      <w:pPr>
        <w:pStyle w:val="NoSpacing"/>
        <w:spacing w:before="240" w:after="240"/>
        <w:rPr>
          <w:rFonts w:ascii="Verdana" w:hAnsi="Verdana"/>
          <w:i/>
          <w:color w:val="0000CC"/>
        </w:rPr>
      </w:pPr>
      <w:r w:rsidRPr="00417AAC">
        <w:rPr>
          <w:rFonts w:ascii="Verdana" w:hAnsi="Verdana"/>
          <w:i/>
          <w:color w:val="0000CC"/>
        </w:rPr>
        <w:t>Sponsor</w:t>
      </w:r>
      <w:r w:rsidR="0021628A">
        <w:rPr>
          <w:rFonts w:ascii="Verdana" w:hAnsi="Verdana"/>
          <w:i/>
          <w:color w:val="0000CC"/>
        </w:rPr>
        <w:t>(</w:t>
      </w:r>
      <w:r w:rsidRPr="00417AAC">
        <w:rPr>
          <w:rFonts w:ascii="Verdana" w:hAnsi="Verdana"/>
          <w:i/>
          <w:color w:val="0000CC"/>
        </w:rPr>
        <w:t>s</w:t>
      </w:r>
      <w:r w:rsidR="0021628A">
        <w:rPr>
          <w:rFonts w:ascii="Verdana" w:hAnsi="Verdana"/>
          <w:i/>
          <w:color w:val="0000CC"/>
        </w:rPr>
        <w:t>):</w:t>
      </w:r>
      <w:r w:rsidRPr="00417AAC">
        <w:rPr>
          <w:rFonts w:ascii="Verdana" w:hAnsi="Verdana"/>
          <w:i/>
          <w:color w:val="0000CC"/>
        </w:rPr>
        <w:t xml:space="preserve"> </w:t>
      </w:r>
      <w:r w:rsidR="005C0EA1">
        <w:rPr>
          <w:rFonts w:ascii="Verdana" w:hAnsi="Verdana"/>
          <w:color w:val="000000" w:themeColor="text1"/>
        </w:rPr>
        <w:t>Kristina Heilgeist, DyAnn Walter, Michael Aquino</w:t>
      </w:r>
    </w:p>
    <w:p w:rsidR="005C0EA1" w:rsidRPr="005C0EA1" w:rsidRDefault="005C0EA1" w:rsidP="005C0EA1">
      <w:pPr>
        <w:pStyle w:val="NoSpacing"/>
        <w:rPr>
          <w:rFonts w:ascii="Verdana" w:hAnsi="Verdana"/>
        </w:rPr>
      </w:pPr>
      <w:r w:rsidRPr="005C0EA1">
        <w:rPr>
          <w:rFonts w:ascii="Verdana" w:hAnsi="Verdana"/>
        </w:rPr>
        <w:t xml:space="preserve">How the Data Extract from Colleague to Hobsons handle STC statuses:  </w:t>
      </w:r>
    </w:p>
    <w:p w:rsidR="005C0EA1" w:rsidRPr="005C0EA1" w:rsidRDefault="005C0EA1" w:rsidP="005C0EA1">
      <w:pPr>
        <w:pStyle w:val="NoSpacing"/>
        <w:numPr>
          <w:ilvl w:val="0"/>
          <w:numId w:val="27"/>
        </w:numPr>
        <w:spacing w:after="120"/>
        <w:rPr>
          <w:rFonts w:ascii="Verdana" w:hAnsi="Verdana"/>
        </w:rPr>
      </w:pPr>
      <w:r w:rsidRPr="005C0EA1">
        <w:rPr>
          <w:rFonts w:ascii="Verdana" w:hAnsi="Verdana"/>
        </w:rPr>
        <w:t>If the STAC record has a term after the 1998/1999 migration to Colleague, the record will be sent in the “</w:t>
      </w:r>
      <w:r w:rsidRPr="005C0EA1">
        <w:rPr>
          <w:rFonts w:ascii="Verdana" w:hAnsi="Verdana"/>
          <w:color w:val="0000CC"/>
        </w:rPr>
        <w:t>course enrollment</w:t>
      </w:r>
      <w:r w:rsidRPr="005C0EA1">
        <w:rPr>
          <w:rFonts w:ascii="Verdana" w:hAnsi="Verdana"/>
        </w:rPr>
        <w:t>” data extract file (does not exclude any current STC status) and the “</w:t>
      </w:r>
      <w:r w:rsidRPr="005C0EA1">
        <w:rPr>
          <w:rFonts w:ascii="Verdana" w:hAnsi="Verdana"/>
          <w:color w:val="0000CC"/>
        </w:rPr>
        <w:t>course outcome</w:t>
      </w:r>
      <w:r w:rsidRPr="005C0EA1">
        <w:rPr>
          <w:rFonts w:ascii="Verdana" w:hAnsi="Verdana"/>
        </w:rPr>
        <w:t>” (only if there is a grade)</w:t>
      </w:r>
    </w:p>
    <w:p w:rsidR="005C0EA1" w:rsidRPr="005C0EA1" w:rsidRDefault="005C0EA1" w:rsidP="005C0EA1">
      <w:pPr>
        <w:pStyle w:val="NoSpacing"/>
        <w:numPr>
          <w:ilvl w:val="0"/>
          <w:numId w:val="27"/>
        </w:numPr>
        <w:spacing w:after="120"/>
        <w:rPr>
          <w:rFonts w:ascii="Verdana" w:hAnsi="Verdana"/>
        </w:rPr>
      </w:pPr>
      <w:r w:rsidRPr="005C0EA1">
        <w:rPr>
          <w:rFonts w:ascii="Verdana" w:hAnsi="Verdana"/>
        </w:rPr>
        <w:t>If the STAC record has a term before or equal to 1998/1999 migration to Colleague, the record will be sent in the “</w:t>
      </w:r>
      <w:r w:rsidRPr="005C0EA1">
        <w:rPr>
          <w:rFonts w:ascii="Verdana" w:hAnsi="Verdana"/>
          <w:color w:val="0000CC"/>
        </w:rPr>
        <w:t>student transfer</w:t>
      </w:r>
      <w:r w:rsidRPr="005C0EA1">
        <w:rPr>
          <w:rFonts w:ascii="Verdana" w:hAnsi="Verdana"/>
        </w:rPr>
        <w:t>” data extract file (does not exclude any current STC status)</w:t>
      </w:r>
    </w:p>
    <w:p w:rsidR="005C0EA1" w:rsidRPr="005C0EA1" w:rsidRDefault="005C0EA1" w:rsidP="000D2E1B">
      <w:pPr>
        <w:pStyle w:val="NoSpacing"/>
        <w:numPr>
          <w:ilvl w:val="0"/>
          <w:numId w:val="27"/>
        </w:numPr>
        <w:spacing w:after="240"/>
        <w:rPr>
          <w:rFonts w:ascii="Verdana" w:hAnsi="Verdana"/>
        </w:rPr>
      </w:pPr>
      <w:r w:rsidRPr="005C0EA1">
        <w:rPr>
          <w:rFonts w:ascii="Verdana" w:hAnsi="Verdana"/>
        </w:rPr>
        <w:t>If the STAC record has a current status of “TR” or “NC”, the record will be sent in the “</w:t>
      </w:r>
      <w:r w:rsidRPr="005C0EA1">
        <w:rPr>
          <w:rFonts w:ascii="Verdana" w:hAnsi="Verdana"/>
          <w:color w:val="0000CC"/>
        </w:rPr>
        <w:t>student transfer</w:t>
      </w:r>
      <w:r w:rsidRPr="005C0EA1">
        <w:rPr>
          <w:rFonts w:ascii="Verdana" w:hAnsi="Verdana"/>
        </w:rPr>
        <w:t>” data extract file.</w:t>
      </w:r>
    </w:p>
    <w:p w:rsidR="005C0EA1" w:rsidRDefault="005C0EA1" w:rsidP="005C0EA1">
      <w:pPr>
        <w:pStyle w:val="NoSpacing"/>
        <w:rPr>
          <w:rFonts w:ascii="Verdana" w:hAnsi="Verdana"/>
        </w:rPr>
      </w:pPr>
      <w:r w:rsidRPr="005C0EA1">
        <w:rPr>
          <w:rFonts w:ascii="Verdana" w:hAnsi="Verdana"/>
        </w:rPr>
        <w:t xml:space="preserve">The above information was provided by third party vendor </w:t>
      </w:r>
      <w:proofErr w:type="spellStart"/>
      <w:r w:rsidRPr="005C0EA1">
        <w:rPr>
          <w:rFonts w:ascii="Verdana" w:hAnsi="Verdana"/>
        </w:rPr>
        <w:t>Ferrilli</w:t>
      </w:r>
      <w:proofErr w:type="spellEnd"/>
      <w:r w:rsidRPr="005C0EA1">
        <w:rPr>
          <w:rFonts w:ascii="Verdana" w:hAnsi="Verdana"/>
        </w:rPr>
        <w:t xml:space="preserve"> (via Michael).</w:t>
      </w:r>
    </w:p>
    <w:p w:rsidR="005C0EA1" w:rsidRPr="005C0EA1" w:rsidRDefault="005C0EA1" w:rsidP="005C0EA1">
      <w:pPr>
        <w:pStyle w:val="NoSpacing"/>
        <w:rPr>
          <w:rFonts w:ascii="Verdana" w:hAnsi="Verdana"/>
        </w:rPr>
      </w:pPr>
    </w:p>
    <w:p w:rsidR="00327728" w:rsidRDefault="00327728">
      <w:pPr>
        <w:spacing w:before="0" w:after="160" w:line="259" w:lineRule="auto"/>
        <w:ind w:left="0"/>
        <w:rPr>
          <w:rFonts w:ascii="Verdana" w:eastAsiaTheme="minorHAnsi" w:hAnsi="Verdana"/>
          <w:sz w:val="22"/>
          <w:szCs w:val="22"/>
          <w:lang w:eastAsia="en-US"/>
        </w:rPr>
      </w:pPr>
      <w:r>
        <w:rPr>
          <w:rFonts w:ascii="Verdana" w:hAnsi="Verdana"/>
        </w:rPr>
        <w:br w:type="page"/>
      </w:r>
    </w:p>
    <w:p w:rsidR="000D2E1B" w:rsidRDefault="005C0EA1" w:rsidP="005C0EA1">
      <w:pPr>
        <w:pStyle w:val="NoSpacing"/>
        <w:rPr>
          <w:rFonts w:ascii="Verdana" w:hAnsi="Verdana"/>
        </w:rPr>
      </w:pPr>
      <w:r w:rsidRPr="005C0EA1">
        <w:rPr>
          <w:rFonts w:ascii="Verdana" w:hAnsi="Verdana"/>
        </w:rPr>
        <w:lastRenderedPageBreak/>
        <w:t xml:space="preserve">Degree Planner: </w:t>
      </w:r>
    </w:p>
    <w:p w:rsidR="002B6293" w:rsidRDefault="00EE632E" w:rsidP="00EE632E">
      <w:pPr>
        <w:pStyle w:val="NoSpacing"/>
        <w:ind w:left="288"/>
        <w:rPr>
          <w:rFonts w:ascii="Verdana" w:hAnsi="Verdana"/>
          <w:color w:val="000000" w:themeColor="text1"/>
        </w:rPr>
      </w:pPr>
      <w:r>
        <w:rPr>
          <w:rFonts w:ascii="Verdana" w:hAnsi="Verdana"/>
          <w:color w:val="000000" w:themeColor="text1"/>
        </w:rPr>
        <w:t xml:space="preserve">Kristina Heilgeist and </w:t>
      </w:r>
      <w:r w:rsidR="000D2E1B">
        <w:rPr>
          <w:rFonts w:ascii="Verdana" w:hAnsi="Verdana"/>
          <w:color w:val="000000" w:themeColor="text1"/>
        </w:rPr>
        <w:t>Larry Aycock asked if any other statuses were being used, other than “TR” and “NC”</w:t>
      </w:r>
      <w:r>
        <w:rPr>
          <w:rFonts w:ascii="Verdana" w:hAnsi="Verdana"/>
          <w:color w:val="000000" w:themeColor="text1"/>
        </w:rPr>
        <w:t xml:space="preserve"> for the various credit types</w:t>
      </w:r>
      <w:r w:rsidR="002B6293">
        <w:rPr>
          <w:rFonts w:ascii="Verdana" w:hAnsi="Verdana"/>
          <w:color w:val="000000" w:themeColor="text1"/>
        </w:rPr>
        <w:t xml:space="preserve"> being selected by Hobsons in the “</w:t>
      </w:r>
      <w:r w:rsidR="002B6293" w:rsidRPr="002B6293">
        <w:rPr>
          <w:rFonts w:ascii="Verdana" w:hAnsi="Verdana"/>
          <w:color w:val="0000CC"/>
        </w:rPr>
        <w:t>student transfer</w:t>
      </w:r>
      <w:r w:rsidR="002B6293">
        <w:rPr>
          <w:rFonts w:ascii="Verdana" w:hAnsi="Verdana"/>
          <w:color w:val="000000" w:themeColor="text1"/>
        </w:rPr>
        <w:t>” data extract file.</w:t>
      </w:r>
      <w:r w:rsidR="000D2E1B">
        <w:rPr>
          <w:rFonts w:ascii="Verdana" w:hAnsi="Verdana"/>
          <w:color w:val="000000" w:themeColor="text1"/>
        </w:rPr>
        <w:t xml:space="preserve"> </w:t>
      </w:r>
    </w:p>
    <w:p w:rsidR="002B6293" w:rsidRDefault="002B6293" w:rsidP="00EE632E">
      <w:pPr>
        <w:pStyle w:val="NoSpacing"/>
        <w:ind w:left="288"/>
        <w:rPr>
          <w:rFonts w:ascii="Verdana" w:hAnsi="Verdana"/>
          <w:color w:val="000000" w:themeColor="text1"/>
        </w:rPr>
      </w:pPr>
    </w:p>
    <w:p w:rsidR="00027C5B" w:rsidRDefault="005010FD" w:rsidP="0088579C">
      <w:pPr>
        <w:pStyle w:val="NoSpacing"/>
        <w:spacing w:after="120"/>
        <w:ind w:left="288"/>
        <w:rPr>
          <w:rFonts w:ascii="Verdana" w:hAnsi="Verdana"/>
          <w:color w:val="000000" w:themeColor="text1"/>
        </w:rPr>
      </w:pPr>
      <w:r>
        <w:rPr>
          <w:rFonts w:ascii="Verdana" w:hAnsi="Verdana"/>
          <w:color w:val="000000" w:themeColor="text1"/>
        </w:rPr>
        <w:t xml:space="preserve">The A&amp;R Staff from both colleges said they were entering only </w:t>
      </w:r>
      <w:r>
        <w:rPr>
          <w:rFonts w:ascii="Verdana" w:hAnsi="Verdana"/>
          <w:color w:val="000000" w:themeColor="text1"/>
        </w:rPr>
        <w:t xml:space="preserve">“TR” and “NC” </w:t>
      </w:r>
      <w:r>
        <w:rPr>
          <w:rFonts w:ascii="Verdana" w:hAnsi="Verdana"/>
          <w:color w:val="000000" w:themeColor="text1"/>
        </w:rPr>
        <w:t xml:space="preserve">for </w:t>
      </w:r>
      <w:r w:rsidR="00027C5B">
        <w:rPr>
          <w:rFonts w:ascii="Verdana" w:hAnsi="Verdana"/>
          <w:color w:val="000000" w:themeColor="text1"/>
        </w:rPr>
        <w:t xml:space="preserve">non-traditional credit types such as </w:t>
      </w:r>
      <w:r w:rsidR="0088579C">
        <w:rPr>
          <w:rFonts w:ascii="Verdana" w:hAnsi="Verdana"/>
          <w:color w:val="000000" w:themeColor="text1"/>
        </w:rPr>
        <w:t>A</w:t>
      </w:r>
      <w:r w:rsidR="00106113">
        <w:rPr>
          <w:rFonts w:ascii="Verdana" w:hAnsi="Verdana"/>
          <w:color w:val="000000" w:themeColor="text1"/>
        </w:rPr>
        <w:t>dvance Placement</w:t>
      </w:r>
      <w:r w:rsidR="00027C5B">
        <w:rPr>
          <w:rFonts w:ascii="Verdana" w:hAnsi="Verdana"/>
          <w:color w:val="000000" w:themeColor="text1"/>
        </w:rPr>
        <w:t xml:space="preserve"> (AP)</w:t>
      </w:r>
      <w:r w:rsidR="0088579C">
        <w:rPr>
          <w:rFonts w:ascii="Verdana" w:hAnsi="Verdana"/>
          <w:color w:val="000000" w:themeColor="text1"/>
        </w:rPr>
        <w:t xml:space="preserve">, </w:t>
      </w:r>
      <w:r w:rsidR="00BB44CF">
        <w:rPr>
          <w:rFonts w:ascii="Verdana" w:hAnsi="Verdana"/>
          <w:color w:val="000000" w:themeColor="text1"/>
        </w:rPr>
        <w:t xml:space="preserve">CLEP, </w:t>
      </w:r>
      <w:proofErr w:type="gramStart"/>
      <w:r w:rsidR="00BB44CF">
        <w:rPr>
          <w:rFonts w:ascii="Verdana" w:hAnsi="Verdana"/>
          <w:color w:val="000000" w:themeColor="text1"/>
        </w:rPr>
        <w:t>Credit</w:t>
      </w:r>
      <w:proofErr w:type="gramEnd"/>
      <w:r w:rsidR="00BB44CF">
        <w:rPr>
          <w:rFonts w:ascii="Verdana" w:hAnsi="Verdana"/>
          <w:color w:val="000000" w:themeColor="text1"/>
        </w:rPr>
        <w:t xml:space="preserve"> by Exam, </w:t>
      </w:r>
      <w:r w:rsidR="0088579C">
        <w:rPr>
          <w:rFonts w:ascii="Verdana" w:hAnsi="Verdana"/>
          <w:color w:val="000000" w:themeColor="text1"/>
        </w:rPr>
        <w:t xml:space="preserve">Military Credits, and </w:t>
      </w:r>
      <w:r w:rsidR="003126C6">
        <w:rPr>
          <w:rFonts w:ascii="Verdana" w:hAnsi="Verdana"/>
          <w:color w:val="000000" w:themeColor="text1"/>
        </w:rPr>
        <w:t>Transfer Work</w:t>
      </w:r>
      <w:r w:rsidR="00027C5B">
        <w:rPr>
          <w:rFonts w:ascii="Verdana" w:hAnsi="Verdana"/>
          <w:color w:val="000000" w:themeColor="text1"/>
        </w:rPr>
        <w:t xml:space="preserve">. </w:t>
      </w:r>
    </w:p>
    <w:p w:rsidR="000D2E1B" w:rsidRDefault="00B05B6F" w:rsidP="00EE632E">
      <w:pPr>
        <w:pStyle w:val="NoSpacing"/>
        <w:ind w:left="288"/>
        <w:rPr>
          <w:rFonts w:ascii="Verdana" w:hAnsi="Verdana"/>
        </w:rPr>
      </w:pPr>
      <w:r>
        <w:rPr>
          <w:rFonts w:ascii="Verdana" w:hAnsi="Verdana"/>
          <w:color w:val="000000" w:themeColor="text1"/>
        </w:rPr>
        <w:t>This is good because the upload process uses the status (not term) to pull over entries into Degree Planner.</w:t>
      </w:r>
    </w:p>
    <w:p w:rsidR="00EE632E" w:rsidRDefault="002B6293" w:rsidP="000D2E1B">
      <w:pPr>
        <w:pStyle w:val="NoSpacing"/>
        <w:ind w:left="288"/>
        <w:rPr>
          <w:rFonts w:ascii="Verdana" w:hAnsi="Verdana"/>
        </w:rPr>
      </w:pPr>
      <w:r>
        <w:rPr>
          <w:noProof/>
        </w:rPr>
        <w:drawing>
          <wp:inline distT="0" distB="0" distL="0" distR="0" wp14:anchorId="3DB06065" wp14:editId="25E37391">
            <wp:extent cx="6492240" cy="225679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2240" cy="2256790"/>
                    </a:xfrm>
                    <a:prstGeom prst="rect">
                      <a:avLst/>
                    </a:prstGeom>
                  </pic:spPr>
                </pic:pic>
              </a:graphicData>
            </a:graphic>
          </wp:inline>
        </w:drawing>
      </w:r>
    </w:p>
    <w:p w:rsidR="000D2E1B" w:rsidRDefault="000D2E1B" w:rsidP="005C0EA1">
      <w:pPr>
        <w:pStyle w:val="NoSpacing"/>
        <w:rPr>
          <w:rFonts w:ascii="Verdana" w:hAnsi="Verdana"/>
        </w:rPr>
      </w:pPr>
    </w:p>
    <w:p w:rsidR="000E18DA" w:rsidRDefault="000E18DA" w:rsidP="000E18DA">
      <w:pPr>
        <w:pStyle w:val="NoSpacing"/>
        <w:spacing w:after="120"/>
        <w:ind w:left="360"/>
        <w:rPr>
          <w:rFonts w:ascii="Verdana" w:hAnsi="Verdana"/>
          <w:color w:val="000000" w:themeColor="text1"/>
        </w:rPr>
      </w:pPr>
      <w:r>
        <w:rPr>
          <w:rFonts w:ascii="Verdana" w:hAnsi="Verdana"/>
          <w:color w:val="000000" w:themeColor="text1"/>
        </w:rPr>
        <w:t xml:space="preserve">Kristina Heilgeist said that Valley attaches to an area, while Crafton attaches to a Course, which gives credit in that area. </w:t>
      </w:r>
    </w:p>
    <w:p w:rsidR="000E18DA" w:rsidRDefault="000E18DA" w:rsidP="000E18DA">
      <w:pPr>
        <w:pStyle w:val="NoSpacing"/>
        <w:spacing w:after="120"/>
        <w:ind w:left="360"/>
        <w:rPr>
          <w:rFonts w:ascii="Verdana" w:hAnsi="Verdana"/>
          <w:color w:val="000000" w:themeColor="text1"/>
        </w:rPr>
      </w:pPr>
      <w:r>
        <w:rPr>
          <w:rFonts w:ascii="Verdana" w:hAnsi="Verdana"/>
          <w:color w:val="000000" w:themeColor="text1"/>
        </w:rPr>
        <w:t>Kristina Heilgeist recommends building pseudo courses as place holders in order to carry the Military Credit over to Degree Planner.</w:t>
      </w:r>
      <w:r w:rsidR="00954026">
        <w:rPr>
          <w:rFonts w:ascii="Verdana" w:hAnsi="Verdana"/>
          <w:color w:val="000000" w:themeColor="text1"/>
        </w:rPr>
        <w:t xml:space="preserve"> But it was determined that pseudo courses would not be necessary since the “</w:t>
      </w:r>
      <w:r w:rsidR="00954026" w:rsidRPr="002B6293">
        <w:rPr>
          <w:rFonts w:ascii="Verdana" w:hAnsi="Verdana"/>
          <w:color w:val="0000CC"/>
        </w:rPr>
        <w:t>student transfer</w:t>
      </w:r>
      <w:r w:rsidR="00954026">
        <w:rPr>
          <w:rFonts w:ascii="Verdana" w:hAnsi="Verdana"/>
          <w:color w:val="000000" w:themeColor="text1"/>
        </w:rPr>
        <w:t xml:space="preserve">” data extract file </w:t>
      </w:r>
      <w:r w:rsidR="004379F8">
        <w:rPr>
          <w:rFonts w:ascii="Verdana" w:hAnsi="Verdana"/>
          <w:color w:val="000000" w:themeColor="text1"/>
        </w:rPr>
        <w:t>pulled data</w:t>
      </w:r>
      <w:r w:rsidR="00954026">
        <w:rPr>
          <w:rFonts w:ascii="Verdana" w:hAnsi="Verdana"/>
          <w:color w:val="000000" w:themeColor="text1"/>
        </w:rPr>
        <w:t xml:space="preserve"> based on “TR” and “NC” </w:t>
      </w:r>
      <w:r w:rsidR="00776CFA">
        <w:rPr>
          <w:rFonts w:ascii="Verdana" w:hAnsi="Verdana"/>
          <w:color w:val="000000" w:themeColor="text1"/>
        </w:rPr>
        <w:t>credit type codes.</w:t>
      </w:r>
    </w:p>
    <w:p w:rsidR="000E18DA" w:rsidRDefault="000E18DA" w:rsidP="005C0EA1">
      <w:pPr>
        <w:pStyle w:val="NoSpacing"/>
        <w:rPr>
          <w:rFonts w:ascii="Verdana" w:hAnsi="Verdana"/>
        </w:rPr>
      </w:pPr>
    </w:p>
    <w:p w:rsidR="00954026" w:rsidRPr="005C0EA1" w:rsidRDefault="00954026" w:rsidP="00954026">
      <w:pPr>
        <w:pStyle w:val="NoSpacing"/>
        <w:rPr>
          <w:rFonts w:ascii="Verdana" w:hAnsi="Verdana"/>
        </w:rPr>
      </w:pPr>
      <w:r>
        <w:rPr>
          <w:rFonts w:ascii="Verdana" w:hAnsi="Verdana"/>
        </w:rPr>
        <w:t>P</w:t>
      </w:r>
      <w:r w:rsidRPr="005C0EA1">
        <w:rPr>
          <w:rFonts w:ascii="Verdana" w:hAnsi="Verdana"/>
        </w:rPr>
        <w:t>ossibility of establishing a shared method of entry</w:t>
      </w:r>
      <w:r>
        <w:rPr>
          <w:rFonts w:ascii="Verdana" w:hAnsi="Verdana"/>
        </w:rPr>
        <w:t>.</w:t>
      </w:r>
    </w:p>
    <w:p w:rsidR="00954026" w:rsidRDefault="00954026" w:rsidP="00954026">
      <w:pPr>
        <w:pStyle w:val="NoSpacing"/>
        <w:ind w:left="360"/>
        <w:rPr>
          <w:rFonts w:ascii="Verdana" w:hAnsi="Verdana"/>
          <w:color w:val="000000" w:themeColor="text1"/>
        </w:rPr>
      </w:pPr>
      <w:r>
        <w:rPr>
          <w:rFonts w:ascii="Verdana" w:hAnsi="Verdana"/>
          <w:color w:val="000000" w:themeColor="text1"/>
        </w:rPr>
        <w:t xml:space="preserve">The colleges use different term codes to differentiate each college on purpose. </w:t>
      </w:r>
    </w:p>
    <w:p w:rsidR="00954026" w:rsidRDefault="00954026" w:rsidP="00954026">
      <w:pPr>
        <w:pStyle w:val="NoSpacing"/>
        <w:spacing w:after="120"/>
        <w:ind w:left="360"/>
        <w:rPr>
          <w:rFonts w:ascii="Verdana" w:hAnsi="Verdana"/>
          <w:color w:val="000000" w:themeColor="text1"/>
        </w:rPr>
      </w:pPr>
      <w:r>
        <w:rPr>
          <w:rFonts w:ascii="Verdana" w:hAnsi="Verdana"/>
          <w:color w:val="000000" w:themeColor="text1"/>
        </w:rPr>
        <w:t>These codes are used in the custom code for each College’s Transcript.</w:t>
      </w:r>
    </w:p>
    <w:p w:rsidR="00954026" w:rsidRDefault="00954026" w:rsidP="00954026">
      <w:pPr>
        <w:pStyle w:val="NoSpacing"/>
        <w:spacing w:after="120"/>
        <w:ind w:left="360"/>
        <w:rPr>
          <w:rFonts w:ascii="Verdana" w:hAnsi="Verdana"/>
          <w:color w:val="000000" w:themeColor="text1"/>
        </w:rPr>
      </w:pPr>
      <w:r>
        <w:rPr>
          <w:rFonts w:ascii="Verdana" w:hAnsi="Verdana"/>
          <w:color w:val="000000" w:themeColor="text1"/>
        </w:rPr>
        <w:t>The consensus was a shared method was not possible.</w:t>
      </w:r>
    </w:p>
    <w:p w:rsidR="00C53DB8" w:rsidRDefault="00C53DB8" w:rsidP="00C53DB8">
      <w:pPr>
        <w:pStyle w:val="NoSpacing"/>
        <w:rPr>
          <w:rFonts w:ascii="Verdana" w:hAnsi="Verdana"/>
          <w:i/>
          <w:color w:val="C00000"/>
        </w:rPr>
      </w:pPr>
    </w:p>
    <w:p w:rsidR="008E43D0" w:rsidRDefault="008E43D0" w:rsidP="008E43D0">
      <w:pPr>
        <w:pStyle w:val="NoSpacing"/>
        <w:ind w:left="288"/>
        <w:rPr>
          <w:rFonts w:ascii="Verdana" w:hAnsi="Verdana"/>
        </w:rPr>
      </w:pPr>
    </w:p>
    <w:p w:rsidR="00B05B6F" w:rsidRDefault="00B05B6F">
      <w:pPr>
        <w:spacing w:before="0" w:after="160" w:line="259" w:lineRule="auto"/>
        <w:ind w:left="0"/>
        <w:rPr>
          <w:rFonts w:ascii="Verdana" w:hAnsi="Verdana"/>
          <w:b/>
          <w:i/>
          <w:iCs/>
          <w:color w:val="0000CC"/>
          <w:sz w:val="22"/>
          <w:szCs w:val="22"/>
        </w:rPr>
      </w:pPr>
      <w:r>
        <w:rPr>
          <w:rFonts w:ascii="Verdana" w:hAnsi="Verdana"/>
          <w:b/>
          <w:color w:val="0000CC"/>
          <w:sz w:val="22"/>
          <w:szCs w:val="22"/>
        </w:rPr>
        <w:br w:type="page"/>
      </w:r>
    </w:p>
    <w:p w:rsidR="008E43D0" w:rsidRPr="00EE37EE" w:rsidRDefault="00AD3CF0" w:rsidP="008E43D0">
      <w:pPr>
        <w:pStyle w:val="IntenseQuote"/>
        <w:pBdr>
          <w:bottom w:val="single" w:sz="4" w:space="17" w:color="5B9BD5" w:themeColor="accent1"/>
        </w:pBdr>
        <w:spacing w:after="120"/>
        <w:ind w:left="90" w:right="144"/>
        <w:rPr>
          <w:rFonts w:ascii="Verdana" w:hAnsi="Verdana"/>
          <w:b/>
          <w:i w:val="0"/>
          <w:color w:val="000000" w:themeColor="text1"/>
          <w:sz w:val="24"/>
          <w:szCs w:val="24"/>
        </w:rPr>
      </w:pPr>
      <w:r>
        <w:rPr>
          <w:rFonts w:ascii="Verdana" w:hAnsi="Verdana"/>
          <w:b/>
          <w:color w:val="0000CC"/>
          <w:sz w:val="22"/>
          <w:szCs w:val="22"/>
        </w:rPr>
        <w:t>V</w:t>
      </w:r>
      <w:r w:rsidRPr="00956627">
        <w:rPr>
          <w:rFonts w:ascii="Verdana" w:hAnsi="Verdana"/>
          <w:b/>
          <w:color w:val="0000CC"/>
          <w:sz w:val="24"/>
          <w:szCs w:val="24"/>
        </w:rPr>
        <w:t xml:space="preserve">eteran Students Placed </w:t>
      </w:r>
      <w:r>
        <w:rPr>
          <w:rFonts w:ascii="Verdana" w:hAnsi="Verdana"/>
          <w:b/>
          <w:color w:val="0000CC"/>
          <w:sz w:val="24"/>
          <w:szCs w:val="24"/>
        </w:rPr>
        <w:t>o</w:t>
      </w:r>
      <w:r w:rsidRPr="00B4306C">
        <w:rPr>
          <w:rFonts w:ascii="Verdana" w:hAnsi="Verdana"/>
          <w:b/>
          <w:color w:val="0000CC"/>
          <w:sz w:val="24"/>
          <w:szCs w:val="24"/>
        </w:rPr>
        <w:t>n Sponsorships (Ch. 33 and Ch. 31</w:t>
      </w:r>
      <w:r>
        <w:rPr>
          <w:rFonts w:ascii="Verdana" w:hAnsi="Verdana"/>
          <w:sz w:val="22"/>
          <w:szCs w:val="22"/>
        </w:rPr>
        <w:t>)</w:t>
      </w:r>
    </w:p>
    <w:p w:rsidR="005C0EA1" w:rsidRDefault="008E43D0" w:rsidP="005C0EA1">
      <w:pPr>
        <w:pStyle w:val="NoSpacing"/>
        <w:spacing w:after="60"/>
        <w:rPr>
          <w:rFonts w:ascii="Verdana" w:hAnsi="Verdana"/>
          <w:color w:val="000000" w:themeColor="text1"/>
        </w:rPr>
      </w:pPr>
      <w:r w:rsidRPr="00417AAC">
        <w:rPr>
          <w:rFonts w:ascii="Verdana" w:hAnsi="Verdana"/>
          <w:i/>
          <w:color w:val="0000CC"/>
        </w:rPr>
        <w:t>Sponsor</w:t>
      </w:r>
      <w:r w:rsidR="0021628A">
        <w:rPr>
          <w:rFonts w:ascii="Verdana" w:hAnsi="Verdana"/>
          <w:i/>
          <w:color w:val="0000CC"/>
        </w:rPr>
        <w:t>:</w:t>
      </w:r>
      <w:r w:rsidRPr="00417AAC">
        <w:rPr>
          <w:rFonts w:ascii="Verdana" w:hAnsi="Verdana"/>
          <w:i/>
          <w:color w:val="0000CC"/>
        </w:rPr>
        <w:t xml:space="preserve"> </w:t>
      </w:r>
      <w:r w:rsidR="005C0EA1">
        <w:rPr>
          <w:rFonts w:ascii="Verdana" w:hAnsi="Verdana"/>
          <w:color w:val="000000" w:themeColor="text1"/>
        </w:rPr>
        <w:t>Jason Alvarez</w:t>
      </w:r>
    </w:p>
    <w:p w:rsidR="00CB3395" w:rsidRDefault="00CB3395" w:rsidP="00CB3395">
      <w:pPr>
        <w:pStyle w:val="ListParagraph"/>
        <w:spacing w:before="240" w:after="120"/>
        <w:ind w:left="0"/>
        <w:rPr>
          <w:rFonts w:ascii="Verdana" w:hAnsi="Verdana"/>
          <w:sz w:val="22"/>
          <w:szCs w:val="22"/>
        </w:rPr>
      </w:pPr>
      <w:r>
        <w:rPr>
          <w:rFonts w:ascii="Verdana" w:hAnsi="Verdana"/>
          <w:color w:val="0000CC"/>
          <w:sz w:val="22"/>
          <w:szCs w:val="22"/>
        </w:rPr>
        <w:t xml:space="preserve">Problem: </w:t>
      </w:r>
      <w:r w:rsidR="005C0EA1" w:rsidRPr="006F07E3">
        <w:rPr>
          <w:rFonts w:ascii="Verdana" w:hAnsi="Verdana"/>
          <w:color w:val="000000" w:themeColor="text1"/>
          <w:sz w:val="22"/>
          <w:szCs w:val="22"/>
        </w:rPr>
        <w:t>V</w:t>
      </w:r>
      <w:r w:rsidR="005C0EA1" w:rsidRPr="006F07E3">
        <w:rPr>
          <w:rFonts w:ascii="Verdana" w:hAnsi="Verdana"/>
          <w:sz w:val="22"/>
          <w:szCs w:val="22"/>
        </w:rPr>
        <w:t xml:space="preserve">eteran students on </w:t>
      </w:r>
      <w:r w:rsidR="002429B3">
        <w:rPr>
          <w:rFonts w:ascii="Verdana" w:hAnsi="Verdana"/>
          <w:sz w:val="22"/>
          <w:szCs w:val="22"/>
        </w:rPr>
        <w:t>S</w:t>
      </w:r>
      <w:r w:rsidR="005C0EA1" w:rsidRPr="006F07E3">
        <w:rPr>
          <w:rFonts w:ascii="Verdana" w:hAnsi="Verdana"/>
          <w:sz w:val="22"/>
          <w:szCs w:val="22"/>
        </w:rPr>
        <w:t xml:space="preserve">ponsorships </w:t>
      </w:r>
      <w:r w:rsidR="00B4306C">
        <w:rPr>
          <w:rFonts w:ascii="Verdana" w:hAnsi="Verdana"/>
          <w:sz w:val="22"/>
          <w:szCs w:val="22"/>
        </w:rPr>
        <w:t>who drop courses before</w:t>
      </w:r>
      <w:r w:rsidR="005C0EA1" w:rsidRPr="006F07E3">
        <w:rPr>
          <w:rFonts w:ascii="Verdana" w:hAnsi="Verdana"/>
          <w:sz w:val="22"/>
          <w:szCs w:val="22"/>
        </w:rPr>
        <w:t xml:space="preserve"> the refund date.</w:t>
      </w:r>
      <w:r w:rsidR="002429B3">
        <w:rPr>
          <w:rFonts w:ascii="Verdana" w:hAnsi="Verdana"/>
          <w:sz w:val="22"/>
          <w:szCs w:val="22"/>
        </w:rPr>
        <w:t xml:space="preserve"> </w:t>
      </w:r>
    </w:p>
    <w:p w:rsidR="00CB3395" w:rsidRDefault="00CB3395" w:rsidP="00CB3395">
      <w:pPr>
        <w:pStyle w:val="ListParagraph"/>
        <w:spacing w:before="240" w:after="120"/>
        <w:ind w:left="0"/>
        <w:rPr>
          <w:rFonts w:ascii="Verdana" w:hAnsi="Verdana"/>
          <w:sz w:val="22"/>
          <w:szCs w:val="22"/>
        </w:rPr>
      </w:pPr>
    </w:p>
    <w:p w:rsidR="005C0EA1" w:rsidRPr="002429B3" w:rsidRDefault="00CB3395" w:rsidP="00CB3395">
      <w:pPr>
        <w:pStyle w:val="ListParagraph"/>
        <w:spacing w:before="240" w:after="120"/>
        <w:ind w:left="0"/>
        <w:rPr>
          <w:rFonts w:ascii="Verdana" w:eastAsiaTheme="minorHAnsi" w:hAnsi="Verdana"/>
          <w:sz w:val="22"/>
          <w:szCs w:val="22"/>
          <w:lang w:eastAsia="en-US"/>
        </w:rPr>
      </w:pPr>
      <w:r>
        <w:rPr>
          <w:rFonts w:ascii="Verdana" w:hAnsi="Verdana"/>
          <w:sz w:val="22"/>
          <w:szCs w:val="22"/>
        </w:rPr>
        <w:t xml:space="preserve">Once the student drops a course, should the </w:t>
      </w:r>
      <w:r w:rsidR="005C0EA1" w:rsidRPr="00CA1408">
        <w:rPr>
          <w:rFonts w:ascii="Verdana" w:hAnsi="Verdana"/>
          <w:sz w:val="22"/>
          <w:szCs w:val="22"/>
        </w:rPr>
        <w:t xml:space="preserve">refund </w:t>
      </w:r>
      <w:r>
        <w:rPr>
          <w:rFonts w:ascii="Verdana" w:hAnsi="Verdana"/>
          <w:sz w:val="22"/>
          <w:szCs w:val="22"/>
        </w:rPr>
        <w:t xml:space="preserve">go the </w:t>
      </w:r>
      <w:r w:rsidR="005C0EA1" w:rsidRPr="00CA1408">
        <w:rPr>
          <w:rFonts w:ascii="Verdana" w:hAnsi="Verdana"/>
          <w:sz w:val="22"/>
          <w:szCs w:val="22"/>
        </w:rPr>
        <w:t>student or to the VA</w:t>
      </w:r>
      <w:r>
        <w:rPr>
          <w:rFonts w:ascii="Verdana" w:hAnsi="Verdana"/>
          <w:sz w:val="22"/>
          <w:szCs w:val="22"/>
        </w:rPr>
        <w:t>?</w:t>
      </w:r>
    </w:p>
    <w:p w:rsidR="005C0EA1" w:rsidRDefault="005C0EA1" w:rsidP="00B4306C">
      <w:pPr>
        <w:ind w:left="0"/>
        <w:rPr>
          <w:rFonts w:ascii="Verdana" w:hAnsi="Verdana"/>
          <w:sz w:val="22"/>
          <w:szCs w:val="22"/>
        </w:rPr>
      </w:pPr>
      <w:r>
        <w:rPr>
          <w:rFonts w:ascii="Verdana" w:hAnsi="Verdana"/>
          <w:sz w:val="22"/>
          <w:szCs w:val="22"/>
        </w:rPr>
        <w:t xml:space="preserve">Jason </w:t>
      </w:r>
      <w:r w:rsidR="002429B3">
        <w:rPr>
          <w:rFonts w:ascii="Verdana" w:hAnsi="Verdana"/>
          <w:sz w:val="22"/>
          <w:szCs w:val="22"/>
        </w:rPr>
        <w:t xml:space="preserve">Alvarez </w:t>
      </w:r>
      <w:r>
        <w:rPr>
          <w:rFonts w:ascii="Verdana" w:hAnsi="Verdana"/>
          <w:sz w:val="22"/>
          <w:szCs w:val="22"/>
        </w:rPr>
        <w:t xml:space="preserve">is </w:t>
      </w:r>
      <w:r w:rsidRPr="00CA1408">
        <w:rPr>
          <w:rFonts w:ascii="Verdana" w:hAnsi="Verdana"/>
          <w:sz w:val="22"/>
          <w:szCs w:val="22"/>
        </w:rPr>
        <w:t>of the understanding that refunds are not always being processed efficiently, either going back to the veteran or to the VA, and we may be sitting on funds that are supposed to be returned from past academic years.</w:t>
      </w:r>
    </w:p>
    <w:p w:rsidR="00B4306C" w:rsidRDefault="002429B3" w:rsidP="00B4306C">
      <w:pPr>
        <w:ind w:left="0"/>
        <w:rPr>
          <w:rFonts w:ascii="Verdana" w:hAnsi="Verdana"/>
          <w:color w:val="000000"/>
          <w:sz w:val="22"/>
          <w:szCs w:val="22"/>
        </w:rPr>
      </w:pPr>
      <w:r>
        <w:rPr>
          <w:rFonts w:ascii="Verdana" w:hAnsi="Verdana"/>
          <w:color w:val="000000"/>
          <w:sz w:val="22"/>
          <w:szCs w:val="22"/>
        </w:rPr>
        <w:t xml:space="preserve">Currently, the </w:t>
      </w:r>
      <w:r w:rsidR="00214B83" w:rsidRPr="006C7E5A">
        <w:rPr>
          <w:rFonts w:ascii="Verdana" w:hAnsi="Verdana"/>
          <w:color w:val="0000CC"/>
          <w:sz w:val="22"/>
          <w:szCs w:val="22"/>
        </w:rPr>
        <w:t>SPII</w:t>
      </w:r>
      <w:r w:rsidR="00214B83">
        <w:rPr>
          <w:rFonts w:ascii="Verdana" w:hAnsi="Verdana"/>
          <w:color w:val="000000"/>
          <w:sz w:val="22"/>
          <w:szCs w:val="22"/>
        </w:rPr>
        <w:t xml:space="preserve"> Sponsor Invoice Inquiry S</w:t>
      </w:r>
      <w:r w:rsidR="00214B83" w:rsidRPr="00C55E72">
        <w:rPr>
          <w:rFonts w:ascii="Verdana" w:hAnsi="Verdana"/>
          <w:color w:val="000000"/>
          <w:sz w:val="22"/>
          <w:szCs w:val="22"/>
        </w:rPr>
        <w:t xml:space="preserve">creen shows the money </w:t>
      </w:r>
      <w:r>
        <w:rPr>
          <w:rFonts w:ascii="Verdana" w:hAnsi="Verdana"/>
          <w:color w:val="000000"/>
          <w:sz w:val="22"/>
          <w:szCs w:val="22"/>
        </w:rPr>
        <w:t xml:space="preserve">is </w:t>
      </w:r>
      <w:r w:rsidR="00214B83" w:rsidRPr="00C55E72">
        <w:rPr>
          <w:rFonts w:ascii="Verdana" w:hAnsi="Verdana"/>
          <w:color w:val="000000"/>
          <w:sz w:val="22"/>
          <w:szCs w:val="22"/>
        </w:rPr>
        <w:t xml:space="preserve">credited to the </w:t>
      </w:r>
      <w:r w:rsidR="00214B83" w:rsidRPr="00C55E72">
        <w:rPr>
          <w:rFonts w:ascii="Verdana" w:hAnsi="Verdana"/>
          <w:sz w:val="22"/>
          <w:szCs w:val="22"/>
        </w:rPr>
        <w:t>S</w:t>
      </w:r>
      <w:r w:rsidR="00214B83" w:rsidRPr="00C55E72">
        <w:rPr>
          <w:rFonts w:ascii="Verdana" w:hAnsi="Verdana"/>
          <w:color w:val="000000"/>
          <w:sz w:val="22"/>
          <w:szCs w:val="22"/>
        </w:rPr>
        <w:t>ponsor</w:t>
      </w:r>
      <w:r w:rsidR="00214B83" w:rsidRPr="00C55E72">
        <w:rPr>
          <w:rFonts w:ascii="Verdana" w:hAnsi="Verdana"/>
          <w:sz w:val="22"/>
          <w:szCs w:val="22"/>
        </w:rPr>
        <w:t>ship</w:t>
      </w:r>
      <w:r w:rsidR="00214B83" w:rsidRPr="00C55E72">
        <w:rPr>
          <w:rFonts w:ascii="Verdana" w:hAnsi="Verdana"/>
          <w:color w:val="000000"/>
          <w:sz w:val="22"/>
          <w:szCs w:val="22"/>
        </w:rPr>
        <w:t xml:space="preserve"> (0760709 – Department of Veterans Affairs). </w:t>
      </w:r>
    </w:p>
    <w:p w:rsidR="00214B83" w:rsidRPr="00C55E72" w:rsidRDefault="002429B3" w:rsidP="00AD3CF0">
      <w:pPr>
        <w:spacing w:after="240"/>
        <w:ind w:left="0"/>
        <w:rPr>
          <w:rFonts w:ascii="Verdana" w:eastAsia="Calibri" w:hAnsi="Verdana"/>
          <w:sz w:val="22"/>
          <w:szCs w:val="22"/>
          <w:lang w:eastAsia="en-US"/>
        </w:rPr>
      </w:pPr>
      <w:r>
        <w:rPr>
          <w:rFonts w:ascii="Verdana" w:hAnsi="Verdana"/>
          <w:color w:val="000000"/>
          <w:sz w:val="22"/>
          <w:szCs w:val="22"/>
        </w:rPr>
        <w:t>Unfortunately, the Sponsorship goes after the student for payment.</w:t>
      </w:r>
    </w:p>
    <w:p w:rsidR="00EC3ED9" w:rsidRPr="006C7E5A" w:rsidRDefault="00EC3ED9" w:rsidP="00B4306C">
      <w:pPr>
        <w:pStyle w:val="NoSpacing"/>
        <w:rPr>
          <w:rFonts w:ascii="Verdana" w:hAnsi="Verdana"/>
          <w:color w:val="0000CC"/>
        </w:rPr>
      </w:pPr>
      <w:r w:rsidRPr="006C7E5A">
        <w:rPr>
          <w:rFonts w:ascii="Verdana" w:hAnsi="Verdana"/>
          <w:color w:val="0000CC"/>
        </w:rPr>
        <w:t xml:space="preserve">Where does the refund go? </w:t>
      </w:r>
    </w:p>
    <w:p w:rsidR="00AA668F" w:rsidRDefault="00AA668F" w:rsidP="00AA668F">
      <w:pPr>
        <w:pStyle w:val="NoSpacing"/>
        <w:ind w:left="432"/>
        <w:rPr>
          <w:rFonts w:ascii="Verdana" w:hAnsi="Verdana"/>
          <w:color w:val="000000" w:themeColor="text1"/>
        </w:rPr>
      </w:pPr>
      <w:r>
        <w:rPr>
          <w:rFonts w:ascii="Verdana" w:hAnsi="Verdana"/>
          <w:color w:val="000000" w:themeColor="text1"/>
        </w:rPr>
        <w:t>VA pays</w:t>
      </w:r>
      <w:r w:rsidR="00EC3ED9">
        <w:rPr>
          <w:rFonts w:ascii="Verdana" w:hAnsi="Verdana"/>
          <w:color w:val="000000" w:themeColor="text1"/>
        </w:rPr>
        <w:t xml:space="preserve"> </w:t>
      </w:r>
      <w:r>
        <w:rPr>
          <w:rFonts w:ascii="Verdana" w:hAnsi="Verdana"/>
          <w:color w:val="000000" w:themeColor="text1"/>
        </w:rPr>
        <w:t xml:space="preserve">the District </w:t>
      </w:r>
      <w:r w:rsidR="00EC3ED9">
        <w:rPr>
          <w:rFonts w:ascii="Verdana" w:hAnsi="Verdana"/>
          <w:color w:val="000000" w:themeColor="text1"/>
        </w:rPr>
        <w:t xml:space="preserve">directly </w:t>
      </w:r>
      <w:r>
        <w:rPr>
          <w:rFonts w:ascii="Verdana" w:hAnsi="Verdana"/>
          <w:color w:val="000000" w:themeColor="text1"/>
        </w:rPr>
        <w:t>through</w:t>
      </w:r>
      <w:r w:rsidR="00CE39B6">
        <w:rPr>
          <w:rFonts w:ascii="Verdana" w:hAnsi="Verdana"/>
          <w:color w:val="000000" w:themeColor="text1"/>
        </w:rPr>
        <w:t xml:space="preserve"> EFT</w:t>
      </w:r>
      <w:r w:rsidR="00EC3ED9">
        <w:rPr>
          <w:rFonts w:ascii="Verdana" w:hAnsi="Verdana"/>
          <w:color w:val="000000" w:themeColor="text1"/>
        </w:rPr>
        <w:t xml:space="preserve">. </w:t>
      </w:r>
    </w:p>
    <w:p w:rsidR="00AA668F" w:rsidRDefault="00AA668F" w:rsidP="00AA668F">
      <w:pPr>
        <w:pStyle w:val="NoSpacing"/>
        <w:ind w:left="432"/>
        <w:rPr>
          <w:rFonts w:ascii="Verdana" w:hAnsi="Verdana"/>
          <w:color w:val="000000" w:themeColor="text1"/>
        </w:rPr>
      </w:pPr>
      <w:r>
        <w:rPr>
          <w:rFonts w:ascii="Verdana" w:hAnsi="Verdana"/>
          <w:color w:val="000000" w:themeColor="text1"/>
        </w:rPr>
        <w:t>When the student drops the course, the money goes to the District.</w:t>
      </w:r>
    </w:p>
    <w:p w:rsidR="00AA668F" w:rsidRDefault="00AA668F" w:rsidP="00AA668F">
      <w:pPr>
        <w:pStyle w:val="NoSpacing"/>
        <w:ind w:left="432"/>
        <w:rPr>
          <w:rFonts w:ascii="Verdana" w:hAnsi="Verdana"/>
          <w:color w:val="000000" w:themeColor="text1"/>
        </w:rPr>
      </w:pPr>
      <w:r>
        <w:rPr>
          <w:rFonts w:ascii="Verdana" w:hAnsi="Verdana"/>
          <w:color w:val="000000" w:themeColor="text1"/>
        </w:rPr>
        <w:t>The VA goes after the student, but should be going after the District.</w:t>
      </w:r>
    </w:p>
    <w:p w:rsidR="008E43D0" w:rsidRDefault="00EC3ED9" w:rsidP="00AA668F">
      <w:pPr>
        <w:pStyle w:val="NoSpacing"/>
        <w:ind w:left="432"/>
        <w:rPr>
          <w:rFonts w:ascii="Verdana" w:hAnsi="Verdana"/>
          <w:color w:val="000000" w:themeColor="text1"/>
        </w:rPr>
      </w:pPr>
      <w:r>
        <w:rPr>
          <w:rFonts w:ascii="Verdana" w:hAnsi="Verdana"/>
          <w:color w:val="000000" w:themeColor="text1"/>
        </w:rPr>
        <w:t>The District is keeping the money.</w:t>
      </w:r>
      <w:r w:rsidRPr="00EC3ED9">
        <w:rPr>
          <w:rFonts w:ascii="Verdana" w:hAnsi="Verdana"/>
          <w:color w:val="000000" w:themeColor="text1"/>
        </w:rPr>
        <w:t xml:space="preserve"> </w:t>
      </w:r>
    </w:p>
    <w:p w:rsidR="006C7E5A" w:rsidRDefault="006C7E5A" w:rsidP="00AA668F">
      <w:pPr>
        <w:pStyle w:val="NoSpacing"/>
        <w:ind w:left="432"/>
        <w:rPr>
          <w:rFonts w:ascii="Verdana" w:hAnsi="Verdana"/>
          <w:color w:val="000000" w:themeColor="text1"/>
        </w:rPr>
      </w:pPr>
    </w:p>
    <w:p w:rsidR="006C7E5A" w:rsidRPr="006C7E5A" w:rsidRDefault="006C7E5A" w:rsidP="006C7E5A">
      <w:pPr>
        <w:pStyle w:val="NoSpacing"/>
        <w:rPr>
          <w:rFonts w:ascii="Verdana" w:hAnsi="Verdana"/>
          <w:color w:val="000000" w:themeColor="text1"/>
        </w:rPr>
      </w:pPr>
      <w:r w:rsidRPr="006C7E5A">
        <w:rPr>
          <w:rFonts w:ascii="Verdana" w:hAnsi="Verdana"/>
          <w:color w:val="0000CC"/>
        </w:rPr>
        <w:t>Possible Solutions</w:t>
      </w:r>
    </w:p>
    <w:p w:rsidR="006C7E5A" w:rsidRDefault="006C7E5A" w:rsidP="006C7E5A">
      <w:pPr>
        <w:pStyle w:val="NoSpacing"/>
        <w:spacing w:after="120"/>
        <w:ind w:left="360"/>
        <w:rPr>
          <w:rFonts w:ascii="Verdana" w:hAnsi="Verdana"/>
          <w:color w:val="000000" w:themeColor="text1"/>
        </w:rPr>
      </w:pPr>
      <w:r>
        <w:rPr>
          <w:rFonts w:ascii="Verdana" w:hAnsi="Verdana" w:cs="Tahoma"/>
        </w:rPr>
        <w:t xml:space="preserve">Review the </w:t>
      </w:r>
      <w:r w:rsidRPr="00B4306C">
        <w:rPr>
          <w:rFonts w:ascii="Verdana" w:hAnsi="Verdana" w:cs="Tahoma"/>
        </w:rPr>
        <w:t>‘Sponsor Billing Refund Informer Report’ to determine which Sponsorships need to be reimbursed.</w:t>
      </w:r>
    </w:p>
    <w:p w:rsidR="006C7E5A" w:rsidRPr="00B4306C" w:rsidRDefault="006C7E5A" w:rsidP="006C7E5A">
      <w:pPr>
        <w:pStyle w:val="NoSpacing"/>
        <w:spacing w:after="120"/>
        <w:ind w:left="360"/>
        <w:rPr>
          <w:rFonts w:ascii="Verdana" w:hAnsi="Verdana"/>
          <w:color w:val="000000" w:themeColor="text1"/>
        </w:rPr>
      </w:pPr>
      <w:r>
        <w:rPr>
          <w:rFonts w:ascii="Verdana" w:hAnsi="Verdana"/>
          <w:color w:val="000000" w:themeColor="text1"/>
        </w:rPr>
        <w:t xml:space="preserve">View </w:t>
      </w:r>
      <w:r w:rsidRPr="006C7E5A">
        <w:rPr>
          <w:rFonts w:ascii="Verdana" w:hAnsi="Verdana" w:cs="Tahoma"/>
          <w:color w:val="0000CC"/>
        </w:rPr>
        <w:t>ARAI</w:t>
      </w:r>
      <w:r>
        <w:rPr>
          <w:rFonts w:ascii="Verdana" w:hAnsi="Verdana" w:cs="Tahoma"/>
        </w:rPr>
        <w:t xml:space="preserve"> or </w:t>
      </w:r>
      <w:r w:rsidRPr="006C7E5A">
        <w:rPr>
          <w:rFonts w:ascii="Verdana" w:hAnsi="Verdana" w:cs="Tahoma"/>
          <w:color w:val="0000CC"/>
        </w:rPr>
        <w:t>ARIQ</w:t>
      </w:r>
      <w:r>
        <w:rPr>
          <w:rFonts w:ascii="Verdana" w:hAnsi="Verdana" w:cs="Tahoma"/>
        </w:rPr>
        <w:t xml:space="preserve"> to access the Sponsorships. Credits will be detailed on the screen for each account.</w:t>
      </w:r>
    </w:p>
    <w:p w:rsidR="008E43D0" w:rsidRPr="00B87A8E" w:rsidRDefault="008E43D0" w:rsidP="008E43D0">
      <w:pPr>
        <w:pStyle w:val="ListParagraph"/>
        <w:ind w:left="288"/>
        <w:rPr>
          <w:rFonts w:ascii="Verdana" w:hAnsi="Verdana"/>
          <w:color w:val="000000" w:themeColor="text1"/>
        </w:rPr>
      </w:pPr>
    </w:p>
    <w:p w:rsidR="00B4306C" w:rsidRDefault="008E43D0" w:rsidP="00AD3CF0">
      <w:pPr>
        <w:pStyle w:val="NoSpacing"/>
        <w:rPr>
          <w:rFonts w:ascii="Verdana" w:hAnsi="Verdana"/>
          <w:color w:val="000000" w:themeColor="text1"/>
        </w:rPr>
      </w:pPr>
      <w:r w:rsidRPr="00417AAC">
        <w:rPr>
          <w:rFonts w:ascii="Verdana" w:hAnsi="Verdana"/>
          <w:i/>
          <w:color w:val="C00000"/>
        </w:rPr>
        <w:t>Action Item</w:t>
      </w:r>
      <w:r w:rsidRPr="00B87A8E">
        <w:rPr>
          <w:rFonts w:ascii="Verdana" w:hAnsi="Verdana"/>
          <w:color w:val="000000" w:themeColor="text1"/>
        </w:rPr>
        <w:t xml:space="preserve"> </w:t>
      </w:r>
    </w:p>
    <w:p w:rsidR="008E43D0" w:rsidRPr="00B87A8E" w:rsidRDefault="006C7E5A" w:rsidP="008E43D0">
      <w:pPr>
        <w:pStyle w:val="NoSpacing"/>
        <w:spacing w:after="120"/>
        <w:ind w:left="288"/>
        <w:rPr>
          <w:rFonts w:ascii="Verdana" w:hAnsi="Verdana"/>
          <w:color w:val="000000" w:themeColor="text1"/>
        </w:rPr>
      </w:pPr>
      <w:r>
        <w:rPr>
          <w:rFonts w:ascii="Verdana" w:hAnsi="Verdana"/>
          <w:color w:val="000000" w:themeColor="text1"/>
        </w:rPr>
        <w:t>Larry Aycock and Jason Alvarez will sit with Kristin Raisch to review the Informer Report.</w:t>
      </w:r>
    </w:p>
    <w:p w:rsidR="008E43D0" w:rsidRDefault="008E43D0" w:rsidP="008E43D0">
      <w:pPr>
        <w:pStyle w:val="NoSpacing"/>
        <w:ind w:left="288"/>
        <w:rPr>
          <w:rFonts w:ascii="Verdana" w:hAnsi="Verdana"/>
        </w:rPr>
      </w:pPr>
    </w:p>
    <w:p w:rsidR="00ED35E2" w:rsidRDefault="00ED35E2">
      <w:pPr>
        <w:spacing w:before="0" w:after="160" w:line="259" w:lineRule="auto"/>
        <w:ind w:left="0"/>
        <w:rPr>
          <w:rFonts w:ascii="Verdana" w:eastAsiaTheme="minorHAnsi" w:hAnsi="Verdana"/>
          <w:sz w:val="22"/>
          <w:szCs w:val="22"/>
          <w:lang w:eastAsia="en-US"/>
        </w:rPr>
      </w:pPr>
      <w:r>
        <w:rPr>
          <w:rFonts w:ascii="Verdana" w:hAnsi="Verdana"/>
        </w:rPr>
        <w:br w:type="page"/>
      </w:r>
    </w:p>
    <w:p w:rsidR="00214B83" w:rsidRPr="00214B83" w:rsidRDefault="00214B83" w:rsidP="00214B83">
      <w:pPr>
        <w:pStyle w:val="IntenseQuote"/>
        <w:pBdr>
          <w:bottom w:val="single" w:sz="4" w:space="17" w:color="5B9BD5" w:themeColor="accent1"/>
        </w:pBdr>
        <w:spacing w:after="120"/>
        <w:ind w:left="90" w:right="144"/>
        <w:rPr>
          <w:rFonts w:ascii="Verdana" w:hAnsi="Verdana"/>
          <w:b/>
          <w:i w:val="0"/>
          <w:color w:val="0000CC"/>
          <w:sz w:val="24"/>
          <w:szCs w:val="24"/>
        </w:rPr>
      </w:pPr>
      <w:r w:rsidRPr="00214B83">
        <w:rPr>
          <w:rFonts w:ascii="Verdana" w:hAnsi="Verdana"/>
          <w:b/>
          <w:i w:val="0"/>
          <w:color w:val="0000CC"/>
          <w:sz w:val="24"/>
          <w:szCs w:val="24"/>
        </w:rPr>
        <w:t xml:space="preserve">Removing </w:t>
      </w:r>
      <w:r w:rsidR="00ED35E2">
        <w:rPr>
          <w:rFonts w:ascii="Verdana" w:hAnsi="Verdana"/>
          <w:b/>
          <w:i w:val="0"/>
          <w:color w:val="0000CC"/>
          <w:sz w:val="24"/>
          <w:szCs w:val="24"/>
        </w:rPr>
        <w:t xml:space="preserve">a </w:t>
      </w:r>
      <w:r w:rsidRPr="00214B83">
        <w:rPr>
          <w:rFonts w:ascii="Verdana" w:hAnsi="Verdana"/>
          <w:b/>
          <w:i w:val="0"/>
          <w:color w:val="0000CC"/>
          <w:sz w:val="24"/>
          <w:szCs w:val="24"/>
        </w:rPr>
        <w:t xml:space="preserve">Section from </w:t>
      </w:r>
      <w:proofErr w:type="spellStart"/>
      <w:r w:rsidRPr="00214B83">
        <w:rPr>
          <w:rFonts w:ascii="Verdana" w:hAnsi="Verdana"/>
          <w:b/>
          <w:i w:val="0"/>
          <w:color w:val="0000CC"/>
          <w:sz w:val="24"/>
          <w:szCs w:val="24"/>
        </w:rPr>
        <w:t>WebAdvisor</w:t>
      </w:r>
      <w:proofErr w:type="spellEnd"/>
    </w:p>
    <w:p w:rsidR="00214B83" w:rsidRDefault="00214B83" w:rsidP="00214B83">
      <w:pPr>
        <w:pStyle w:val="NoSpacing"/>
        <w:spacing w:after="60"/>
        <w:rPr>
          <w:rFonts w:ascii="Verdana" w:hAnsi="Verdana"/>
          <w:color w:val="000000" w:themeColor="text1"/>
        </w:rPr>
      </w:pPr>
      <w:r w:rsidRPr="00417AAC">
        <w:rPr>
          <w:rFonts w:ascii="Verdana" w:hAnsi="Verdana"/>
          <w:i/>
          <w:color w:val="0000CC"/>
        </w:rPr>
        <w:t>Sponsor</w:t>
      </w:r>
      <w:r>
        <w:rPr>
          <w:rFonts w:ascii="Verdana" w:hAnsi="Verdana"/>
          <w:i/>
          <w:color w:val="0000CC"/>
        </w:rPr>
        <w:t>:</w:t>
      </w:r>
      <w:r w:rsidRPr="00417AAC">
        <w:rPr>
          <w:rFonts w:ascii="Verdana" w:hAnsi="Verdana"/>
          <w:i/>
          <w:color w:val="0000CC"/>
        </w:rPr>
        <w:t xml:space="preserve"> </w:t>
      </w:r>
      <w:r>
        <w:rPr>
          <w:rFonts w:ascii="Verdana" w:hAnsi="Verdana"/>
          <w:color w:val="000000" w:themeColor="text1"/>
        </w:rPr>
        <w:t>DyAnn Walter</w:t>
      </w:r>
    </w:p>
    <w:p w:rsidR="00214B83" w:rsidRDefault="00214B83" w:rsidP="00214B83">
      <w:pPr>
        <w:pStyle w:val="NoSpacing"/>
        <w:spacing w:after="60"/>
        <w:rPr>
          <w:rFonts w:ascii="Verdana" w:hAnsi="Verdana"/>
          <w:color w:val="000000" w:themeColor="text1"/>
        </w:rPr>
      </w:pPr>
    </w:p>
    <w:p w:rsidR="00214B83" w:rsidRDefault="00214B83" w:rsidP="006C7ECF">
      <w:pPr>
        <w:pStyle w:val="NoSpacing"/>
        <w:spacing w:after="120"/>
        <w:ind w:left="72"/>
        <w:rPr>
          <w:rFonts w:ascii="Verdana" w:hAnsi="Verdana" w:cs="Arial"/>
          <w:color w:val="000000" w:themeColor="text1"/>
          <w:sz w:val="20"/>
          <w:szCs w:val="20"/>
        </w:rPr>
      </w:pPr>
      <w:r w:rsidRPr="00595031">
        <w:rPr>
          <w:rFonts w:ascii="Verdana" w:hAnsi="Verdana" w:cs="Arial"/>
          <w:color w:val="000000" w:themeColor="text1"/>
          <w:sz w:val="20"/>
          <w:szCs w:val="20"/>
        </w:rPr>
        <w:t>Is it time to remove “</w:t>
      </w:r>
      <w:r w:rsidRPr="00595031">
        <w:rPr>
          <w:rFonts w:ascii="Verdana" w:hAnsi="Verdana" w:cs="Arial"/>
          <w:color w:val="0000CC"/>
          <w:sz w:val="20"/>
          <w:szCs w:val="20"/>
        </w:rPr>
        <w:t xml:space="preserve">Student Educational Plans (Prior to </w:t>
      </w:r>
      <w:proofErr w:type="gramStart"/>
      <w:r w:rsidRPr="00595031">
        <w:rPr>
          <w:rFonts w:ascii="Verdana" w:hAnsi="Verdana" w:cs="Arial"/>
          <w:color w:val="0000CC"/>
          <w:sz w:val="20"/>
          <w:szCs w:val="20"/>
        </w:rPr>
        <w:t>Fall</w:t>
      </w:r>
      <w:proofErr w:type="gramEnd"/>
      <w:r w:rsidRPr="00595031">
        <w:rPr>
          <w:rFonts w:ascii="Verdana" w:hAnsi="Verdana" w:cs="Arial"/>
          <w:color w:val="0000CC"/>
          <w:sz w:val="20"/>
          <w:szCs w:val="20"/>
        </w:rPr>
        <w:t xml:space="preserve"> 2014)</w:t>
      </w:r>
      <w:r w:rsidRPr="00595031">
        <w:rPr>
          <w:rFonts w:ascii="Verdana" w:hAnsi="Verdana" w:cs="Arial"/>
          <w:color w:val="000000" w:themeColor="text1"/>
          <w:sz w:val="20"/>
          <w:szCs w:val="20"/>
        </w:rPr>
        <w:t xml:space="preserve">” from </w:t>
      </w:r>
      <w:proofErr w:type="spellStart"/>
      <w:r w:rsidRPr="00595031">
        <w:rPr>
          <w:rFonts w:ascii="Verdana" w:hAnsi="Verdana" w:cs="Arial"/>
          <w:color w:val="000000" w:themeColor="text1"/>
          <w:sz w:val="20"/>
          <w:szCs w:val="20"/>
        </w:rPr>
        <w:t>WebAdvisor</w:t>
      </w:r>
      <w:proofErr w:type="spellEnd"/>
      <w:r w:rsidRPr="00595031">
        <w:rPr>
          <w:rFonts w:ascii="Verdana" w:hAnsi="Verdana" w:cs="Arial"/>
          <w:color w:val="000000" w:themeColor="text1"/>
          <w:sz w:val="20"/>
          <w:szCs w:val="20"/>
        </w:rPr>
        <w:t xml:space="preserve">? </w:t>
      </w:r>
    </w:p>
    <w:p w:rsidR="00214B83" w:rsidRPr="00595031" w:rsidRDefault="00214B83" w:rsidP="006C7ECF">
      <w:pPr>
        <w:pStyle w:val="NoSpacing"/>
        <w:ind w:left="72"/>
        <w:rPr>
          <w:rFonts w:ascii="Verdana" w:hAnsi="Verdana" w:cs="Arial"/>
          <w:color w:val="000000" w:themeColor="text1"/>
          <w:sz w:val="20"/>
          <w:szCs w:val="20"/>
        </w:rPr>
      </w:pPr>
      <w:r w:rsidRPr="00595031">
        <w:rPr>
          <w:rFonts w:ascii="Verdana" w:hAnsi="Verdana" w:cs="Arial"/>
          <w:color w:val="000000" w:themeColor="text1"/>
          <w:sz w:val="20"/>
          <w:szCs w:val="20"/>
        </w:rPr>
        <w:t xml:space="preserve">The parameters of the old Ed Plan are not being maintained, causing confusion when </w:t>
      </w:r>
      <w:r w:rsidR="006C7ECF">
        <w:rPr>
          <w:rFonts w:ascii="Verdana" w:hAnsi="Verdana" w:cs="Arial"/>
          <w:color w:val="000000" w:themeColor="text1"/>
          <w:sz w:val="20"/>
          <w:szCs w:val="20"/>
        </w:rPr>
        <w:t xml:space="preserve">used by </w:t>
      </w:r>
      <w:r w:rsidRPr="00595031">
        <w:rPr>
          <w:rFonts w:ascii="Verdana" w:hAnsi="Verdana" w:cs="Arial"/>
          <w:color w:val="000000" w:themeColor="text1"/>
          <w:sz w:val="20"/>
          <w:szCs w:val="20"/>
        </w:rPr>
        <w:t>counselors.</w:t>
      </w:r>
    </w:p>
    <w:p w:rsidR="00214B83" w:rsidRPr="00595031" w:rsidRDefault="00214B83" w:rsidP="00214B83">
      <w:pPr>
        <w:pStyle w:val="NoSpacing"/>
        <w:rPr>
          <w:rFonts w:ascii="Verdana" w:hAnsi="Verdana"/>
          <w:color w:val="000000" w:themeColor="text1"/>
          <w:sz w:val="20"/>
          <w:szCs w:val="20"/>
        </w:rPr>
      </w:pPr>
    </w:p>
    <w:p w:rsidR="00214B83" w:rsidRDefault="00214B83" w:rsidP="00214B83">
      <w:pPr>
        <w:pStyle w:val="NoSpacing"/>
        <w:ind w:left="432"/>
        <w:rPr>
          <w:rFonts w:ascii="Verdana" w:hAnsi="Verdana"/>
          <w:color w:val="000000" w:themeColor="text1"/>
        </w:rPr>
      </w:pPr>
      <w:r>
        <w:rPr>
          <w:noProof/>
        </w:rPr>
        <w:drawing>
          <wp:inline distT="0" distB="0" distL="0" distR="0" wp14:anchorId="54AECE03" wp14:editId="51222D91">
            <wp:extent cx="2859405" cy="666115"/>
            <wp:effectExtent l="0" t="0" r="0" b="635"/>
            <wp:docPr id="1" name="Picture 1" descr="cid:image005.jpg@01D3FE68.6B26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FE68.6B2643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9405" cy="666115"/>
                    </a:xfrm>
                    <a:prstGeom prst="rect">
                      <a:avLst/>
                    </a:prstGeom>
                    <a:noFill/>
                    <a:ln>
                      <a:noFill/>
                    </a:ln>
                  </pic:spPr>
                </pic:pic>
              </a:graphicData>
            </a:graphic>
          </wp:inline>
        </w:drawing>
      </w:r>
    </w:p>
    <w:p w:rsidR="00214B83" w:rsidRDefault="00214B83" w:rsidP="00214B83">
      <w:pPr>
        <w:pStyle w:val="NoSpacing"/>
        <w:rPr>
          <w:rFonts w:ascii="Verdana" w:hAnsi="Verdana"/>
          <w:color w:val="000000" w:themeColor="text1"/>
        </w:rPr>
      </w:pPr>
    </w:p>
    <w:p w:rsidR="006C7ECF" w:rsidRDefault="006C7ECF" w:rsidP="006C7ECF">
      <w:pPr>
        <w:pStyle w:val="NoSpacing"/>
        <w:rPr>
          <w:rFonts w:ascii="Verdana" w:hAnsi="Verdana"/>
          <w:color w:val="000000" w:themeColor="text1"/>
        </w:rPr>
      </w:pPr>
    </w:p>
    <w:p w:rsidR="00AD3CF0" w:rsidRPr="00AD3CF0" w:rsidRDefault="00AD3CF0" w:rsidP="006C7ECF">
      <w:pPr>
        <w:pStyle w:val="NoSpacing"/>
        <w:rPr>
          <w:rFonts w:ascii="Verdana" w:hAnsi="Verdana"/>
          <w:color w:val="C00000"/>
        </w:rPr>
      </w:pPr>
      <w:r w:rsidRPr="00AD3CF0">
        <w:rPr>
          <w:rFonts w:ascii="Verdana" w:hAnsi="Verdana"/>
          <w:color w:val="C00000"/>
        </w:rPr>
        <w:t>Decision:</w:t>
      </w:r>
    </w:p>
    <w:p w:rsidR="006C7ECF" w:rsidRDefault="006C7ECF" w:rsidP="00AD3CF0">
      <w:pPr>
        <w:pStyle w:val="NoSpacing"/>
        <w:ind w:left="288"/>
        <w:rPr>
          <w:rFonts w:ascii="Verdana" w:hAnsi="Verdana"/>
          <w:color w:val="000000" w:themeColor="text1"/>
        </w:rPr>
      </w:pPr>
      <w:r>
        <w:rPr>
          <w:rFonts w:ascii="Verdana" w:hAnsi="Verdana"/>
          <w:color w:val="000000" w:themeColor="text1"/>
        </w:rPr>
        <w:t xml:space="preserve">The question needs to be directed to the Counselors.  </w:t>
      </w:r>
    </w:p>
    <w:p w:rsidR="006C7ECF" w:rsidRDefault="006C7ECF" w:rsidP="00AD3CF0">
      <w:pPr>
        <w:pStyle w:val="NoSpacing"/>
        <w:ind w:left="288"/>
        <w:rPr>
          <w:rFonts w:ascii="Verdana" w:hAnsi="Verdana"/>
          <w:color w:val="000000" w:themeColor="text1"/>
        </w:rPr>
      </w:pPr>
      <w:r>
        <w:rPr>
          <w:rFonts w:ascii="Verdana" w:hAnsi="Verdana"/>
          <w:color w:val="000000" w:themeColor="text1"/>
        </w:rPr>
        <w:t>Marco Cota and Kirsten Colvey will be back in July.</w:t>
      </w:r>
    </w:p>
    <w:p w:rsidR="00AD3CF0" w:rsidRDefault="00AD3CF0" w:rsidP="00AD3CF0">
      <w:pPr>
        <w:pStyle w:val="NoSpacing"/>
        <w:spacing w:after="120"/>
        <w:ind w:left="288"/>
        <w:rPr>
          <w:rFonts w:ascii="Verdana" w:hAnsi="Verdana"/>
          <w:color w:val="000000" w:themeColor="text1"/>
        </w:rPr>
      </w:pPr>
      <w:r>
        <w:rPr>
          <w:rFonts w:ascii="Verdana" w:hAnsi="Verdana"/>
          <w:color w:val="000000" w:themeColor="text1"/>
        </w:rPr>
        <w:t xml:space="preserve">Leave on agenda until </w:t>
      </w:r>
      <w:r w:rsidR="009072F4">
        <w:rPr>
          <w:rFonts w:ascii="Verdana" w:hAnsi="Verdana"/>
          <w:color w:val="000000" w:themeColor="text1"/>
        </w:rPr>
        <w:t>the 1</w:t>
      </w:r>
      <w:r w:rsidR="009072F4" w:rsidRPr="009072F4">
        <w:rPr>
          <w:rFonts w:ascii="Verdana" w:hAnsi="Verdana"/>
          <w:color w:val="000000" w:themeColor="text1"/>
          <w:vertAlign w:val="superscript"/>
        </w:rPr>
        <w:t>st</w:t>
      </w:r>
      <w:r w:rsidR="009072F4">
        <w:rPr>
          <w:rFonts w:ascii="Verdana" w:hAnsi="Verdana"/>
          <w:color w:val="000000" w:themeColor="text1"/>
        </w:rPr>
        <w:t xml:space="preserve"> meeting in </w:t>
      </w:r>
      <w:r>
        <w:rPr>
          <w:rFonts w:ascii="Verdana" w:hAnsi="Verdana"/>
          <w:color w:val="000000" w:themeColor="text1"/>
        </w:rPr>
        <w:t>July.</w:t>
      </w:r>
    </w:p>
    <w:p w:rsidR="006C7ECF" w:rsidRDefault="006C7ECF" w:rsidP="006C7ECF">
      <w:pPr>
        <w:pStyle w:val="NoSpacing"/>
        <w:spacing w:after="120"/>
        <w:rPr>
          <w:rFonts w:ascii="Verdana" w:hAnsi="Verdana"/>
          <w:color w:val="000000" w:themeColor="text1"/>
        </w:rPr>
      </w:pPr>
    </w:p>
    <w:p w:rsidR="003C1D6E" w:rsidRDefault="003C1D6E" w:rsidP="006C7ECF">
      <w:pPr>
        <w:pStyle w:val="NoSpacing"/>
        <w:spacing w:after="120"/>
        <w:rPr>
          <w:rFonts w:ascii="Verdana" w:hAnsi="Verdana"/>
          <w:color w:val="000000" w:themeColor="text1"/>
        </w:rPr>
      </w:pPr>
    </w:p>
    <w:p w:rsidR="003C1D6E" w:rsidRPr="003C1D6E" w:rsidRDefault="003C1D6E" w:rsidP="003C1D6E">
      <w:pPr>
        <w:pStyle w:val="IntenseQuote"/>
        <w:pBdr>
          <w:bottom w:val="single" w:sz="4" w:space="17" w:color="5B9BD5" w:themeColor="accent1"/>
        </w:pBdr>
        <w:spacing w:after="120"/>
        <w:ind w:left="90" w:right="144"/>
        <w:rPr>
          <w:rFonts w:ascii="Verdana" w:hAnsi="Verdana"/>
          <w:b/>
          <w:i w:val="0"/>
          <w:color w:val="0000CC"/>
          <w:sz w:val="24"/>
          <w:szCs w:val="24"/>
        </w:rPr>
      </w:pPr>
      <w:r w:rsidRPr="003C1D6E">
        <w:rPr>
          <w:rFonts w:ascii="Verdana" w:hAnsi="Verdana"/>
          <w:b/>
          <w:i w:val="0"/>
          <w:color w:val="0000CC"/>
          <w:sz w:val="24"/>
          <w:szCs w:val="24"/>
        </w:rPr>
        <w:t>Miscellaneous</w:t>
      </w:r>
    </w:p>
    <w:p w:rsidR="003C1D6E" w:rsidRPr="00B408CE" w:rsidRDefault="003C1D6E" w:rsidP="00B408CE">
      <w:pPr>
        <w:pStyle w:val="NoSpacing"/>
        <w:spacing w:after="120"/>
        <w:rPr>
          <w:rFonts w:ascii="Verdana" w:hAnsi="Verdana"/>
          <w:b/>
          <w:color w:val="000000" w:themeColor="text1"/>
        </w:rPr>
      </w:pPr>
      <w:r w:rsidRPr="00B408CE">
        <w:rPr>
          <w:rFonts w:ascii="Verdana" w:hAnsi="Verdana"/>
          <w:b/>
          <w:i/>
          <w:color w:val="0000CC"/>
        </w:rPr>
        <w:t>Positive Attendance Report</w:t>
      </w:r>
    </w:p>
    <w:p w:rsidR="003C1D6E" w:rsidRDefault="003C1D6E" w:rsidP="00B408CE">
      <w:pPr>
        <w:pStyle w:val="NoSpacing"/>
        <w:spacing w:after="120"/>
        <w:ind w:left="288"/>
        <w:rPr>
          <w:rFonts w:ascii="Verdana" w:hAnsi="Verdana" w:cs="Arial"/>
          <w:color w:val="000000" w:themeColor="text1"/>
        </w:rPr>
      </w:pPr>
      <w:r w:rsidRPr="003C1D6E">
        <w:rPr>
          <w:rFonts w:ascii="Verdana" w:hAnsi="Verdana" w:cs="Arial"/>
          <w:color w:val="000000" w:themeColor="text1"/>
        </w:rPr>
        <w:t xml:space="preserve">April Dale-Carter said </w:t>
      </w:r>
      <w:r w:rsidR="009072F4">
        <w:rPr>
          <w:rFonts w:ascii="Verdana" w:hAnsi="Verdana" w:cs="Arial"/>
          <w:color w:val="000000" w:themeColor="text1"/>
        </w:rPr>
        <w:t>s</w:t>
      </w:r>
      <w:r w:rsidRPr="003C1D6E">
        <w:rPr>
          <w:rFonts w:ascii="Verdana" w:hAnsi="Verdana" w:cs="Arial"/>
          <w:color w:val="000000" w:themeColor="text1"/>
        </w:rPr>
        <w:t>tudents auditing courses are appearing on the Positive Attendance R</w:t>
      </w:r>
      <w:r w:rsidR="009072F4">
        <w:rPr>
          <w:rFonts w:ascii="Verdana" w:hAnsi="Verdana" w:cs="Arial"/>
          <w:color w:val="000000" w:themeColor="text1"/>
        </w:rPr>
        <w:t>osters</w:t>
      </w:r>
      <w:r w:rsidR="00B408CE">
        <w:rPr>
          <w:rFonts w:ascii="Verdana" w:hAnsi="Verdana" w:cs="Arial"/>
          <w:color w:val="000000" w:themeColor="text1"/>
        </w:rPr>
        <w:t xml:space="preserve">. April wanted to know if </w:t>
      </w:r>
      <w:r w:rsidR="009072F4">
        <w:rPr>
          <w:rFonts w:ascii="Verdana" w:hAnsi="Verdana" w:cs="Arial"/>
          <w:color w:val="000000" w:themeColor="text1"/>
        </w:rPr>
        <w:t xml:space="preserve">the Instructors </w:t>
      </w:r>
      <w:r w:rsidR="00B408CE">
        <w:rPr>
          <w:rFonts w:ascii="Verdana" w:hAnsi="Verdana" w:cs="Arial"/>
          <w:color w:val="000000" w:themeColor="text1"/>
        </w:rPr>
        <w:t xml:space="preserve">should </w:t>
      </w:r>
      <w:r w:rsidR="009072F4">
        <w:rPr>
          <w:rFonts w:ascii="Verdana" w:hAnsi="Verdana" w:cs="Arial"/>
          <w:color w:val="000000" w:themeColor="text1"/>
        </w:rPr>
        <w:t>be including hours the students attended</w:t>
      </w:r>
      <w:r w:rsidR="00936327">
        <w:rPr>
          <w:rFonts w:ascii="Verdana" w:hAnsi="Verdana" w:cs="Arial"/>
          <w:color w:val="000000" w:themeColor="text1"/>
        </w:rPr>
        <w:t>,</w:t>
      </w:r>
      <w:r w:rsidR="009072F4">
        <w:rPr>
          <w:rFonts w:ascii="Verdana" w:hAnsi="Verdana" w:cs="Arial"/>
          <w:color w:val="000000" w:themeColor="text1"/>
        </w:rPr>
        <w:t xml:space="preserve"> </w:t>
      </w:r>
      <w:r w:rsidR="00936327">
        <w:rPr>
          <w:rFonts w:ascii="Verdana" w:hAnsi="Verdana" w:cs="Arial"/>
          <w:color w:val="000000" w:themeColor="text1"/>
        </w:rPr>
        <w:t xml:space="preserve">if they are </w:t>
      </w:r>
      <w:r w:rsidR="009072F4">
        <w:rPr>
          <w:rFonts w:ascii="Verdana" w:hAnsi="Verdana" w:cs="Arial"/>
          <w:color w:val="000000" w:themeColor="text1"/>
        </w:rPr>
        <w:t>auditing the course</w:t>
      </w:r>
      <w:r w:rsidR="00B408CE">
        <w:rPr>
          <w:rFonts w:ascii="Verdana" w:hAnsi="Verdana" w:cs="Arial"/>
          <w:color w:val="000000" w:themeColor="text1"/>
        </w:rPr>
        <w:t>.</w:t>
      </w:r>
    </w:p>
    <w:p w:rsidR="00936327" w:rsidRPr="003C1D6E" w:rsidRDefault="00936327" w:rsidP="00B408CE">
      <w:pPr>
        <w:pStyle w:val="NoSpacing"/>
        <w:ind w:left="288"/>
        <w:rPr>
          <w:rFonts w:ascii="Verdana" w:hAnsi="Verdana" w:cs="Arial"/>
          <w:color w:val="000000" w:themeColor="text1"/>
        </w:rPr>
      </w:pPr>
      <w:r>
        <w:rPr>
          <w:rFonts w:ascii="Verdana" w:hAnsi="Verdana" w:cs="Arial"/>
          <w:color w:val="000000" w:themeColor="text1"/>
        </w:rPr>
        <w:t>Larry Aycock said those students should not be counted. The Instructor should</w:t>
      </w:r>
      <w:r w:rsidRPr="00936327">
        <w:rPr>
          <w:rFonts w:ascii="Verdana" w:hAnsi="Verdana" w:cs="Arial"/>
          <w:color w:val="000000" w:themeColor="text1"/>
        </w:rPr>
        <w:t xml:space="preserve"> </w:t>
      </w:r>
      <w:r>
        <w:rPr>
          <w:rFonts w:ascii="Verdana" w:hAnsi="Verdana" w:cs="Arial"/>
          <w:color w:val="000000" w:themeColor="text1"/>
        </w:rPr>
        <w:t>m</w:t>
      </w:r>
      <w:r w:rsidRPr="003C1D6E">
        <w:rPr>
          <w:rFonts w:ascii="Verdana" w:hAnsi="Verdana" w:cs="Arial"/>
          <w:color w:val="000000" w:themeColor="text1"/>
        </w:rPr>
        <w:t xml:space="preserve">ark the Roster with a 0 for students auditing the course. </w:t>
      </w:r>
    </w:p>
    <w:p w:rsidR="00936327" w:rsidRPr="003C1D6E" w:rsidRDefault="00936327" w:rsidP="003C1D6E">
      <w:pPr>
        <w:pStyle w:val="NoSpacing"/>
        <w:spacing w:after="120"/>
        <w:rPr>
          <w:rFonts w:ascii="Verdana" w:hAnsi="Verdana" w:cs="Arial"/>
          <w:color w:val="000000" w:themeColor="text1"/>
        </w:rPr>
      </w:pPr>
    </w:p>
    <w:p w:rsidR="003C1D6E" w:rsidRPr="003C1D6E" w:rsidRDefault="003C1D6E" w:rsidP="003C1D6E">
      <w:pPr>
        <w:pStyle w:val="NoSpacing"/>
        <w:rPr>
          <w:rFonts w:ascii="Verdana" w:hAnsi="Verdana"/>
          <w:color w:val="000000" w:themeColor="text1"/>
        </w:rPr>
      </w:pPr>
      <w:r w:rsidRPr="003C1D6E">
        <w:rPr>
          <w:rFonts w:ascii="Verdana" w:hAnsi="Verdana"/>
          <w:i/>
          <w:color w:val="C00000"/>
        </w:rPr>
        <w:t>Action Item</w:t>
      </w:r>
      <w:r w:rsidRPr="003C1D6E">
        <w:rPr>
          <w:rFonts w:ascii="Verdana" w:hAnsi="Verdana"/>
          <w:color w:val="000000" w:themeColor="text1"/>
        </w:rPr>
        <w:t xml:space="preserve"> </w:t>
      </w:r>
    </w:p>
    <w:p w:rsidR="00214B83" w:rsidRDefault="003C1D6E" w:rsidP="001546AE">
      <w:pPr>
        <w:pStyle w:val="NoSpacing"/>
        <w:ind w:left="288"/>
        <w:rPr>
          <w:rFonts w:ascii="Verdana" w:hAnsi="Verdana" w:cs="Arial"/>
          <w:color w:val="000000" w:themeColor="text1"/>
        </w:rPr>
      </w:pPr>
      <w:r w:rsidRPr="003C1D6E">
        <w:rPr>
          <w:rFonts w:ascii="Verdana" w:hAnsi="Verdana" w:cs="Arial"/>
          <w:color w:val="000000" w:themeColor="text1"/>
        </w:rPr>
        <w:t xml:space="preserve">April will create a </w:t>
      </w:r>
      <w:proofErr w:type="spellStart"/>
      <w:r w:rsidRPr="003C1D6E">
        <w:rPr>
          <w:rFonts w:ascii="Verdana" w:hAnsi="Verdana" w:cs="Arial"/>
          <w:color w:val="000000" w:themeColor="text1"/>
        </w:rPr>
        <w:t>HelpDesk</w:t>
      </w:r>
      <w:proofErr w:type="spellEnd"/>
      <w:r w:rsidRPr="003C1D6E">
        <w:rPr>
          <w:rFonts w:ascii="Verdana" w:hAnsi="Verdana" w:cs="Arial"/>
          <w:color w:val="000000" w:themeColor="text1"/>
        </w:rPr>
        <w:t xml:space="preserve"> Ticket </w:t>
      </w:r>
      <w:r w:rsidR="00936327">
        <w:rPr>
          <w:rFonts w:ascii="Verdana" w:hAnsi="Verdana" w:cs="Arial"/>
          <w:color w:val="000000" w:themeColor="text1"/>
        </w:rPr>
        <w:t xml:space="preserve">to have the </w:t>
      </w:r>
      <w:r w:rsidR="001546AE">
        <w:rPr>
          <w:rFonts w:ascii="Verdana" w:hAnsi="Verdana" w:cs="Arial"/>
          <w:color w:val="000000" w:themeColor="text1"/>
        </w:rPr>
        <w:t xml:space="preserve">system add and populate the column with the </w:t>
      </w:r>
      <w:r w:rsidR="00936327">
        <w:rPr>
          <w:rFonts w:ascii="Verdana" w:hAnsi="Verdana" w:cs="Arial"/>
          <w:color w:val="000000" w:themeColor="text1"/>
        </w:rPr>
        <w:t xml:space="preserve">‘Audit Status’ </w:t>
      </w:r>
      <w:r w:rsidR="001546AE">
        <w:rPr>
          <w:rFonts w:ascii="Verdana" w:hAnsi="Verdana" w:cs="Arial"/>
          <w:color w:val="000000" w:themeColor="text1"/>
        </w:rPr>
        <w:t xml:space="preserve">on </w:t>
      </w:r>
      <w:r w:rsidR="00936327">
        <w:rPr>
          <w:rFonts w:ascii="Verdana" w:hAnsi="Verdana" w:cs="Arial"/>
          <w:color w:val="000000" w:themeColor="text1"/>
        </w:rPr>
        <w:t xml:space="preserve">the </w:t>
      </w:r>
      <w:r w:rsidR="001546AE">
        <w:rPr>
          <w:rFonts w:ascii="Verdana" w:hAnsi="Verdana" w:cs="Arial"/>
          <w:color w:val="000000" w:themeColor="text1"/>
        </w:rPr>
        <w:t xml:space="preserve">Positive Attendance </w:t>
      </w:r>
      <w:r w:rsidR="00936327">
        <w:rPr>
          <w:rFonts w:ascii="Verdana" w:hAnsi="Verdana" w:cs="Arial"/>
          <w:color w:val="000000" w:themeColor="text1"/>
        </w:rPr>
        <w:t xml:space="preserve">Roster. This would allow A&amp;R to </w:t>
      </w:r>
      <w:r w:rsidR="001546AE">
        <w:rPr>
          <w:rFonts w:ascii="Verdana" w:hAnsi="Verdana" w:cs="Arial"/>
          <w:color w:val="000000" w:themeColor="text1"/>
        </w:rPr>
        <w:t>identify Audit</w:t>
      </w:r>
      <w:r w:rsidR="00B408CE">
        <w:rPr>
          <w:rFonts w:ascii="Verdana" w:hAnsi="Verdana" w:cs="Arial"/>
          <w:color w:val="000000" w:themeColor="text1"/>
        </w:rPr>
        <w:t>ing</w:t>
      </w:r>
      <w:r w:rsidR="001546AE">
        <w:rPr>
          <w:rFonts w:ascii="Verdana" w:hAnsi="Verdana" w:cs="Arial"/>
          <w:color w:val="000000" w:themeColor="text1"/>
        </w:rPr>
        <w:t xml:space="preserve"> St</w:t>
      </w:r>
      <w:r w:rsidR="00936327">
        <w:rPr>
          <w:rFonts w:ascii="Verdana" w:hAnsi="Verdana" w:cs="Arial"/>
          <w:color w:val="000000" w:themeColor="text1"/>
        </w:rPr>
        <w:t>udent</w:t>
      </w:r>
      <w:r w:rsidR="001546AE">
        <w:rPr>
          <w:rFonts w:ascii="Verdana" w:hAnsi="Verdana" w:cs="Arial"/>
          <w:color w:val="000000" w:themeColor="text1"/>
        </w:rPr>
        <w:t>s.</w:t>
      </w:r>
      <w:r w:rsidR="00936327">
        <w:rPr>
          <w:rFonts w:ascii="Verdana" w:hAnsi="Verdana" w:cs="Arial"/>
          <w:color w:val="000000" w:themeColor="text1"/>
        </w:rPr>
        <w:t xml:space="preserve"> </w:t>
      </w:r>
    </w:p>
    <w:p w:rsidR="001546AE" w:rsidRPr="003C1D6E" w:rsidRDefault="001546AE" w:rsidP="001546AE">
      <w:pPr>
        <w:pStyle w:val="NoSpacing"/>
        <w:ind w:left="288"/>
        <w:rPr>
          <w:rFonts w:ascii="Verdana" w:hAnsi="Verdana"/>
          <w:color w:val="000000" w:themeColor="text1"/>
        </w:rPr>
      </w:pPr>
    </w:p>
    <w:p w:rsidR="003C1D6E" w:rsidRPr="003C1D6E" w:rsidRDefault="003C1D6E">
      <w:pPr>
        <w:pStyle w:val="NoSpacing"/>
        <w:spacing w:after="120"/>
        <w:ind w:left="288"/>
        <w:rPr>
          <w:rFonts w:ascii="Verdana" w:hAnsi="Verdana"/>
          <w:color w:val="000000" w:themeColor="text1"/>
        </w:rPr>
      </w:pPr>
      <w:bookmarkStart w:id="0" w:name="_GoBack"/>
      <w:bookmarkEnd w:id="0"/>
    </w:p>
    <w:sectPr w:rsidR="003C1D6E" w:rsidRPr="003C1D6E" w:rsidSect="00E53F10">
      <w:headerReference w:type="default" r:id="rId11"/>
      <w:footerReference w:type="default" r:id="rId12"/>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B408CE">
          <w:rPr>
            <w:b/>
            <w:bCs/>
            <w:noProof/>
          </w:rPr>
          <w:t>3</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B408CE">
          <w:rPr>
            <w:b/>
            <w:bCs/>
            <w:noProof/>
          </w:rPr>
          <w:t>4</w:t>
        </w:r>
        <w:r w:rsidR="00E53F10">
          <w:rPr>
            <w:b/>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 w:id="1">
    <w:p w:rsidR="00702BD4" w:rsidRDefault="00702BD4">
      <w:pPr>
        <w:pStyle w:val="FootnoteText"/>
      </w:pPr>
      <w:r>
        <w:rPr>
          <w:rStyle w:val="FootnoteReference"/>
        </w:rPr>
        <w:footnoteRef/>
      </w:r>
      <w:r>
        <w:t xml:space="preserve"> </w:t>
      </w:r>
      <w:r>
        <w:rPr>
          <w:rFonts w:ascii="Albertus Medium" w:hAnsi="Albertus Medium"/>
          <w:sz w:val="19"/>
          <w:szCs w:val="19"/>
        </w:rPr>
        <w:t>Disclaimer</w:t>
      </w:r>
      <w:r w:rsidR="00445FAE">
        <w:rPr>
          <w:rFonts w:ascii="Albertus Medium" w:hAnsi="Albertus Medium"/>
          <w:sz w:val="19"/>
          <w:szCs w:val="19"/>
        </w:rPr>
        <w:t>:</w:t>
      </w:r>
      <w:r>
        <w:rPr>
          <w:rFonts w:ascii="Albertus Medium" w:hAnsi="Albertus Medium"/>
          <w:sz w:val="19"/>
          <w:szCs w:val="19"/>
        </w:rPr>
        <w:t xml:space="preserve"> Some individuals joining the meeting via phone may not be in the Attendance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FC" w:rsidRPr="00520D63" w:rsidRDefault="00B408CE" w:rsidP="002F1663">
    <w:pPr>
      <w:pStyle w:val="Title"/>
      <w:spacing w:before="0" w:after="0"/>
      <w:rPr>
        <w:rFonts w:ascii="Antique Olive Roman" w:hAnsi="Antique Olive Roman"/>
        <w:b/>
        <w:color w:val="000000" w:themeColor="text1"/>
        <w:sz w:val="40"/>
        <w:szCs w:val="40"/>
      </w:rPr>
    </w:pPr>
    <w:sdt>
      <w:sdtPr>
        <w:rPr>
          <w:rFonts w:ascii="Antique Olive Roman" w:hAnsi="Antique Olive Roman"/>
          <w:b/>
          <w:color w:val="000000" w:themeColor="text1"/>
          <w:sz w:val="31"/>
          <w:szCs w:val="31"/>
        </w:rPr>
        <w:id w:val="745540532"/>
        <w:placeholder>
          <w:docPart w:val="E03F33117ABA40E5B29AB01B08E21CE3"/>
        </w:placeholder>
        <w15:appearance w15:val="hidden"/>
      </w:sdtPr>
      <w:sdtEndPr/>
      <w:sdtContent>
        <w:r w:rsidR="00F146FC" w:rsidRPr="00137345">
          <w:rPr>
            <w:rFonts w:ascii="Antique Olive Roman" w:hAnsi="Antique Olive Roman"/>
            <w:b/>
            <w:color w:val="000000" w:themeColor="text1"/>
            <w:sz w:val="31"/>
            <w:szCs w:val="31"/>
          </w:rPr>
          <w:t xml:space="preserve">District Applications </w:t>
        </w:r>
        <w:proofErr w:type="spellStart"/>
        <w:r w:rsidR="00F146FC" w:rsidRPr="00137345">
          <w:rPr>
            <w:rFonts w:ascii="Antique Olive Roman" w:hAnsi="Antique Olive Roman"/>
            <w:b/>
            <w:color w:val="000000" w:themeColor="text1"/>
            <w:sz w:val="31"/>
            <w:szCs w:val="31"/>
          </w:rPr>
          <w:t>WorkGroup</w:t>
        </w:r>
        <w:proofErr w:type="spellEnd"/>
        <w:r w:rsidR="00F146FC" w:rsidRPr="00137345">
          <w:rPr>
            <w:rFonts w:ascii="Antique Olive Roman" w:hAnsi="Antique Olive Roman"/>
            <w:b/>
            <w:color w:val="000000" w:themeColor="text1"/>
            <w:sz w:val="31"/>
            <w:szCs w:val="31"/>
          </w:rPr>
          <w:t xml:space="preserve"> (DAWG) </w:t>
        </w:r>
      </w:sdtContent>
    </w:sdt>
    <w:r w:rsidR="00F146FC" w:rsidRPr="00137345">
      <w:rPr>
        <w:rFonts w:ascii="Antique Olive Roman" w:hAnsi="Antique Olive Roman"/>
        <w:b/>
        <w:color w:val="000000" w:themeColor="text1"/>
      </w:rPr>
      <w:t>|</w:t>
    </w:r>
    <w:r w:rsidR="00520D63" w:rsidRPr="00520D63">
      <w:rPr>
        <w:rFonts w:ascii="Antique Olive Roman" w:hAnsi="Antique Olive Roman"/>
        <w:b/>
        <w:color w:val="000000" w:themeColor="text1"/>
        <w:sz w:val="40"/>
        <w:szCs w:val="40"/>
      </w:rPr>
      <w:t>Meeting Notes</w:t>
    </w:r>
    <w:r w:rsidR="00F146FC" w:rsidRPr="00520D63">
      <w:rPr>
        <w:rFonts w:ascii="Antique Olive Roman" w:hAnsi="Antique Olive Roman"/>
        <w:b/>
        <w:color w:val="000000" w:themeColor="text1"/>
        <w:sz w:val="40"/>
        <w:szCs w:val="40"/>
      </w:rPr>
      <w:tab/>
    </w:r>
  </w:p>
  <w:p w:rsidR="00C0567A" w:rsidRPr="007D6A98" w:rsidRDefault="00137345" w:rsidP="00C0567A">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00C0567A" w:rsidRPr="007D6A98">
      <w:rPr>
        <w:rFonts w:ascii="Antique Olive Roman" w:hAnsi="Antique Olive Roman"/>
        <w:b/>
        <w:i/>
        <w:color w:val="000000" w:themeColor="text1"/>
        <w:sz w:val="22"/>
        <w:szCs w:val="22"/>
      </w:rPr>
      <w:t xml:space="preserve">DATE </w:t>
    </w:r>
    <w:r w:rsidR="00C0567A" w:rsidRPr="007D6A98">
      <w:rPr>
        <w:rFonts w:ascii="Antique Olive Roman" w:hAnsi="Antique Olive Roman"/>
        <w:b/>
        <w:i/>
        <w:color w:val="0000CC"/>
        <w:sz w:val="22"/>
        <w:szCs w:val="22"/>
      </w:rPr>
      <w:t>Wednesday</w:t>
    </w:r>
    <w:r w:rsidR="00A3133A">
      <w:rPr>
        <w:rFonts w:ascii="Antique Olive Roman" w:hAnsi="Antique Olive Roman"/>
        <w:b/>
        <w:i/>
        <w:color w:val="0000CC"/>
        <w:sz w:val="22"/>
        <w:szCs w:val="22"/>
      </w:rPr>
      <w:t>,</w:t>
    </w:r>
    <w:r w:rsidR="00C0567A" w:rsidRPr="007D6A98">
      <w:rPr>
        <w:rFonts w:ascii="Antique Olive Roman" w:hAnsi="Antique Olive Roman"/>
        <w:b/>
        <w:i/>
        <w:color w:val="0000CC"/>
        <w:sz w:val="22"/>
        <w:szCs w:val="22"/>
      </w:rPr>
      <w:t xml:space="preserve"> </w:t>
    </w:r>
    <w:r w:rsidR="0021628A">
      <w:rPr>
        <w:rFonts w:ascii="Antique Olive Roman" w:hAnsi="Antique Olive Roman"/>
        <w:b/>
        <w:i/>
        <w:color w:val="0000CC"/>
        <w:sz w:val="22"/>
        <w:szCs w:val="22"/>
      </w:rPr>
      <w:t>June</w:t>
    </w:r>
    <w:r w:rsidR="00D44FCC">
      <w:rPr>
        <w:rFonts w:ascii="Antique Olive Roman" w:hAnsi="Antique Olive Roman"/>
        <w:b/>
        <w:i/>
        <w:color w:val="0000CC"/>
        <w:sz w:val="22"/>
        <w:szCs w:val="22"/>
      </w:rPr>
      <w:t xml:space="preserve"> </w:t>
    </w:r>
    <w:r w:rsidR="00F93E99">
      <w:rPr>
        <w:rFonts w:ascii="Antique Olive Roman" w:hAnsi="Antique Olive Roman"/>
        <w:b/>
        <w:i/>
        <w:color w:val="0000CC"/>
        <w:sz w:val="22"/>
        <w:szCs w:val="22"/>
      </w:rPr>
      <w:t>13</w:t>
    </w:r>
    <w:r w:rsidR="00FC19C2">
      <w:rPr>
        <w:rFonts w:ascii="Antique Olive Roman" w:hAnsi="Antique Olive Roman"/>
        <w:b/>
        <w:i/>
        <w:color w:val="0000CC"/>
        <w:sz w:val="22"/>
        <w:szCs w:val="22"/>
      </w:rPr>
      <w:t>, 201</w:t>
    </w:r>
    <w:r w:rsidR="00D44FCC">
      <w:rPr>
        <w:rFonts w:ascii="Antique Olive Roman" w:hAnsi="Antique Olive Roman"/>
        <w:b/>
        <w:i/>
        <w:color w:val="0000CC"/>
        <w:sz w:val="22"/>
        <w:szCs w:val="22"/>
      </w:rPr>
      <w:t>8</w:t>
    </w:r>
  </w:p>
  <w:p w:rsidR="002F1663" w:rsidRDefault="002F1663" w:rsidP="00520D63">
    <w:pPr>
      <w:spacing w:before="0" w:after="0"/>
      <w:ind w:left="6480" w:right="-126"/>
      <w:rPr>
        <w:rFonts w:ascii="Antique Olive Roman" w:hAnsi="Antique Olive Roman"/>
        <w:b/>
        <w:i/>
        <w:color w:val="0000CC"/>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F8"/>
    <w:multiLevelType w:val="hybridMultilevel"/>
    <w:tmpl w:val="A53EA6B2"/>
    <w:lvl w:ilvl="0" w:tplc="CA2CA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E2E52"/>
    <w:multiLevelType w:val="hybridMultilevel"/>
    <w:tmpl w:val="5FE8A6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09499F"/>
    <w:multiLevelType w:val="hybridMultilevel"/>
    <w:tmpl w:val="3608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860387"/>
    <w:multiLevelType w:val="hybridMultilevel"/>
    <w:tmpl w:val="DADE1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741450"/>
    <w:multiLevelType w:val="hybridMultilevel"/>
    <w:tmpl w:val="CAB8A36C"/>
    <w:lvl w:ilvl="0" w:tplc="D2AC94A4">
      <w:start w:val="1"/>
      <w:numFmt w:val="decimal"/>
      <w:lvlText w:val="%1."/>
      <w:lvlJc w:val="left"/>
      <w:pPr>
        <w:ind w:left="720" w:hanging="360"/>
      </w:pPr>
      <w:rPr>
        <w:rFonts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43204"/>
    <w:multiLevelType w:val="hybridMultilevel"/>
    <w:tmpl w:val="158A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52347"/>
    <w:multiLevelType w:val="hybridMultilevel"/>
    <w:tmpl w:val="49464E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DE5724"/>
    <w:multiLevelType w:val="hybridMultilevel"/>
    <w:tmpl w:val="ACEA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5F03B4"/>
    <w:multiLevelType w:val="hybridMultilevel"/>
    <w:tmpl w:val="6DAE4D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A95E73"/>
    <w:multiLevelType w:val="hybridMultilevel"/>
    <w:tmpl w:val="35EC0B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9900B1"/>
    <w:multiLevelType w:val="hybridMultilevel"/>
    <w:tmpl w:val="F5DCB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9F54AE"/>
    <w:multiLevelType w:val="hybridMultilevel"/>
    <w:tmpl w:val="B2EA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2909"/>
    <w:multiLevelType w:val="hybridMultilevel"/>
    <w:tmpl w:val="E9E477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29569F"/>
    <w:multiLevelType w:val="hybridMultilevel"/>
    <w:tmpl w:val="D2243CF6"/>
    <w:lvl w:ilvl="0" w:tplc="43349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C954B6"/>
    <w:multiLevelType w:val="hybridMultilevel"/>
    <w:tmpl w:val="246A4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CB5E66"/>
    <w:multiLevelType w:val="hybridMultilevel"/>
    <w:tmpl w:val="564C12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024D40"/>
    <w:multiLevelType w:val="hybridMultilevel"/>
    <w:tmpl w:val="C23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4258D"/>
    <w:multiLevelType w:val="hybridMultilevel"/>
    <w:tmpl w:val="A616320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E23FB0"/>
    <w:multiLevelType w:val="hybridMultilevel"/>
    <w:tmpl w:val="AAE6DCF4"/>
    <w:lvl w:ilvl="0" w:tplc="E9DEAF0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9A6998"/>
    <w:multiLevelType w:val="hybridMultilevel"/>
    <w:tmpl w:val="5D8AE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25707"/>
    <w:multiLevelType w:val="hybridMultilevel"/>
    <w:tmpl w:val="3412FFC6"/>
    <w:lvl w:ilvl="0" w:tplc="38023568">
      <w:start w:val="2"/>
      <w:numFmt w:val="bullet"/>
      <w:lvlText w:val=""/>
      <w:lvlJc w:val="left"/>
      <w:pPr>
        <w:ind w:left="432" w:hanging="360"/>
      </w:pPr>
      <w:rPr>
        <w:rFonts w:ascii="Symbol" w:eastAsiaTheme="minorEastAsia" w:hAnsi="Symbol" w:cstheme="minorBidi" w:hint="default"/>
        <w:color w:val="000000" w:themeColor="text1"/>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5E2A4D17"/>
    <w:multiLevelType w:val="hybridMultilevel"/>
    <w:tmpl w:val="80DAA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A11D2"/>
    <w:multiLevelType w:val="hybridMultilevel"/>
    <w:tmpl w:val="C0AE4C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FC695A"/>
    <w:multiLevelType w:val="hybridMultilevel"/>
    <w:tmpl w:val="D3260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D914A3"/>
    <w:multiLevelType w:val="hybridMultilevel"/>
    <w:tmpl w:val="BEF8EBA4"/>
    <w:lvl w:ilvl="0" w:tplc="BAF86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113F50"/>
    <w:multiLevelType w:val="hybridMultilevel"/>
    <w:tmpl w:val="320EC6A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6" w15:restartNumberingAfterBreak="0">
    <w:nsid w:val="67143B80"/>
    <w:multiLevelType w:val="hybridMultilevel"/>
    <w:tmpl w:val="986609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914210"/>
    <w:multiLevelType w:val="hybridMultilevel"/>
    <w:tmpl w:val="218C62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D0667E"/>
    <w:multiLevelType w:val="hybridMultilevel"/>
    <w:tmpl w:val="9708A7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0A6D71"/>
    <w:multiLevelType w:val="hybridMultilevel"/>
    <w:tmpl w:val="B4E42B8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5"/>
  </w:num>
  <w:num w:numId="4">
    <w:abstractNumId w:val="28"/>
  </w:num>
  <w:num w:numId="5">
    <w:abstractNumId w:val="23"/>
  </w:num>
  <w:num w:numId="6">
    <w:abstractNumId w:val="17"/>
  </w:num>
  <w:num w:numId="7">
    <w:abstractNumId w:val="24"/>
  </w:num>
  <w:num w:numId="8">
    <w:abstractNumId w:val="13"/>
  </w:num>
  <w:num w:numId="9">
    <w:abstractNumId w:val="0"/>
  </w:num>
  <w:num w:numId="10">
    <w:abstractNumId w:val="22"/>
  </w:num>
  <w:num w:numId="11">
    <w:abstractNumId w:val="6"/>
  </w:num>
  <w:num w:numId="12">
    <w:abstractNumId w:val="27"/>
  </w:num>
  <w:num w:numId="13">
    <w:abstractNumId w:val="10"/>
  </w:num>
  <w:num w:numId="14">
    <w:abstractNumId w:val="29"/>
  </w:num>
  <w:num w:numId="15">
    <w:abstractNumId w:val="3"/>
  </w:num>
  <w:num w:numId="16">
    <w:abstractNumId w:val="12"/>
  </w:num>
  <w:num w:numId="17">
    <w:abstractNumId w:val="15"/>
  </w:num>
  <w:num w:numId="18">
    <w:abstractNumId w:val="26"/>
  </w:num>
  <w:num w:numId="19">
    <w:abstractNumId w:val="7"/>
  </w:num>
  <w:num w:numId="20">
    <w:abstractNumId w:val="9"/>
  </w:num>
  <w:num w:numId="21">
    <w:abstractNumId w:val="8"/>
  </w:num>
  <w:num w:numId="22">
    <w:abstractNumId w:val="14"/>
  </w:num>
  <w:num w:numId="23">
    <w:abstractNumId w:val="18"/>
  </w:num>
  <w:num w:numId="24">
    <w:abstractNumId w:val="1"/>
  </w:num>
  <w:num w:numId="25">
    <w:abstractNumId w:val="2"/>
  </w:num>
  <w:num w:numId="26">
    <w:abstractNumId w:val="19"/>
  </w:num>
  <w:num w:numId="27">
    <w:abstractNumId w:val="21"/>
  </w:num>
  <w:num w:numId="28">
    <w:abstractNumId w:val="20"/>
  </w:num>
  <w:num w:numId="29">
    <w:abstractNumId w:val="25"/>
  </w:num>
  <w:num w:numId="3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4151"/>
    <w:rsid w:val="00004B86"/>
    <w:rsid w:val="00020567"/>
    <w:rsid w:val="000268A0"/>
    <w:rsid w:val="00027C5B"/>
    <w:rsid w:val="000326CE"/>
    <w:rsid w:val="0003619A"/>
    <w:rsid w:val="000437D9"/>
    <w:rsid w:val="00050536"/>
    <w:rsid w:val="00055A34"/>
    <w:rsid w:val="00060194"/>
    <w:rsid w:val="00065903"/>
    <w:rsid w:val="000659D6"/>
    <w:rsid w:val="00065D7B"/>
    <w:rsid w:val="000702E5"/>
    <w:rsid w:val="00070D8E"/>
    <w:rsid w:val="000952DA"/>
    <w:rsid w:val="0009532C"/>
    <w:rsid w:val="000C57D3"/>
    <w:rsid w:val="000D0683"/>
    <w:rsid w:val="000D2E1B"/>
    <w:rsid w:val="000E18DA"/>
    <w:rsid w:val="000F40B0"/>
    <w:rsid w:val="00106113"/>
    <w:rsid w:val="00110460"/>
    <w:rsid w:val="00131CAA"/>
    <w:rsid w:val="00131FAF"/>
    <w:rsid w:val="001332B0"/>
    <w:rsid w:val="00137345"/>
    <w:rsid w:val="001504A9"/>
    <w:rsid w:val="001546AE"/>
    <w:rsid w:val="001653C6"/>
    <w:rsid w:val="0017730F"/>
    <w:rsid w:val="001B7571"/>
    <w:rsid w:val="001F7AC0"/>
    <w:rsid w:val="0021383F"/>
    <w:rsid w:val="00214B83"/>
    <w:rsid w:val="0021628A"/>
    <w:rsid w:val="00217DAD"/>
    <w:rsid w:val="002219E6"/>
    <w:rsid w:val="002429B3"/>
    <w:rsid w:val="00273D08"/>
    <w:rsid w:val="00294AD8"/>
    <w:rsid w:val="002B533D"/>
    <w:rsid w:val="002B6293"/>
    <w:rsid w:val="002C42CF"/>
    <w:rsid w:val="002C4AE7"/>
    <w:rsid w:val="002D4119"/>
    <w:rsid w:val="002E0108"/>
    <w:rsid w:val="002E78FF"/>
    <w:rsid w:val="002E7945"/>
    <w:rsid w:val="002F1663"/>
    <w:rsid w:val="003076B6"/>
    <w:rsid w:val="003126C6"/>
    <w:rsid w:val="003207F7"/>
    <w:rsid w:val="003226FE"/>
    <w:rsid w:val="003253A0"/>
    <w:rsid w:val="00325EA5"/>
    <w:rsid w:val="00327728"/>
    <w:rsid w:val="003307B3"/>
    <w:rsid w:val="00334F06"/>
    <w:rsid w:val="00337171"/>
    <w:rsid w:val="00342042"/>
    <w:rsid w:val="00344433"/>
    <w:rsid w:val="00346EF3"/>
    <w:rsid w:val="00354EA4"/>
    <w:rsid w:val="00374082"/>
    <w:rsid w:val="00382165"/>
    <w:rsid w:val="0039345B"/>
    <w:rsid w:val="003A125E"/>
    <w:rsid w:val="003A5417"/>
    <w:rsid w:val="003C1D6E"/>
    <w:rsid w:val="003D5EAC"/>
    <w:rsid w:val="003F21EB"/>
    <w:rsid w:val="003F49AE"/>
    <w:rsid w:val="0040252B"/>
    <w:rsid w:val="00417AAC"/>
    <w:rsid w:val="0042359F"/>
    <w:rsid w:val="004379F8"/>
    <w:rsid w:val="00441BF4"/>
    <w:rsid w:val="00445FAE"/>
    <w:rsid w:val="00460E59"/>
    <w:rsid w:val="00463BF9"/>
    <w:rsid w:val="0046404C"/>
    <w:rsid w:val="00471EF0"/>
    <w:rsid w:val="00495FD5"/>
    <w:rsid w:val="004A0878"/>
    <w:rsid w:val="004A3BCF"/>
    <w:rsid w:val="004D1196"/>
    <w:rsid w:val="004E75A0"/>
    <w:rsid w:val="004F0DC0"/>
    <w:rsid w:val="005010FD"/>
    <w:rsid w:val="0050640E"/>
    <w:rsid w:val="0051552E"/>
    <w:rsid w:val="00520D63"/>
    <w:rsid w:val="005336CE"/>
    <w:rsid w:val="00536FF0"/>
    <w:rsid w:val="00544025"/>
    <w:rsid w:val="0054512D"/>
    <w:rsid w:val="0054708E"/>
    <w:rsid w:val="00586581"/>
    <w:rsid w:val="00591BC6"/>
    <w:rsid w:val="005C0EA1"/>
    <w:rsid w:val="00602B52"/>
    <w:rsid w:val="0060424B"/>
    <w:rsid w:val="00621346"/>
    <w:rsid w:val="00632D63"/>
    <w:rsid w:val="00681162"/>
    <w:rsid w:val="00681D52"/>
    <w:rsid w:val="006A3717"/>
    <w:rsid w:val="006A480E"/>
    <w:rsid w:val="006A5253"/>
    <w:rsid w:val="006A7154"/>
    <w:rsid w:val="006C7E5A"/>
    <w:rsid w:val="006C7ECF"/>
    <w:rsid w:val="006D4F95"/>
    <w:rsid w:val="006D5F40"/>
    <w:rsid w:val="006E276B"/>
    <w:rsid w:val="00702BD4"/>
    <w:rsid w:val="007031AA"/>
    <w:rsid w:val="0070652B"/>
    <w:rsid w:val="0072167F"/>
    <w:rsid w:val="00733352"/>
    <w:rsid w:val="00734CA0"/>
    <w:rsid w:val="0074486C"/>
    <w:rsid w:val="00756E4C"/>
    <w:rsid w:val="00763030"/>
    <w:rsid w:val="00776CFA"/>
    <w:rsid w:val="00785152"/>
    <w:rsid w:val="00787131"/>
    <w:rsid w:val="007A2711"/>
    <w:rsid w:val="007A2D89"/>
    <w:rsid w:val="007A4BA9"/>
    <w:rsid w:val="007B4305"/>
    <w:rsid w:val="007B777B"/>
    <w:rsid w:val="007D0268"/>
    <w:rsid w:val="007D2C25"/>
    <w:rsid w:val="007D6A98"/>
    <w:rsid w:val="007E538F"/>
    <w:rsid w:val="007F3EA2"/>
    <w:rsid w:val="00816F0F"/>
    <w:rsid w:val="00817E1B"/>
    <w:rsid w:val="00821A3A"/>
    <w:rsid w:val="008227B3"/>
    <w:rsid w:val="008408EB"/>
    <w:rsid w:val="008424B5"/>
    <w:rsid w:val="00856B0E"/>
    <w:rsid w:val="0086319C"/>
    <w:rsid w:val="00874739"/>
    <w:rsid w:val="00884A7B"/>
    <w:rsid w:val="0088579C"/>
    <w:rsid w:val="008A6F44"/>
    <w:rsid w:val="008B5B16"/>
    <w:rsid w:val="008C10A0"/>
    <w:rsid w:val="008E1A45"/>
    <w:rsid w:val="008E43D0"/>
    <w:rsid w:val="008E6EC0"/>
    <w:rsid w:val="009072F4"/>
    <w:rsid w:val="009232DE"/>
    <w:rsid w:val="009251D3"/>
    <w:rsid w:val="0092576F"/>
    <w:rsid w:val="0093524D"/>
    <w:rsid w:val="00936327"/>
    <w:rsid w:val="009457BE"/>
    <w:rsid w:val="0094735E"/>
    <w:rsid w:val="00954026"/>
    <w:rsid w:val="00975309"/>
    <w:rsid w:val="009B3A39"/>
    <w:rsid w:val="009B510D"/>
    <w:rsid w:val="009C6651"/>
    <w:rsid w:val="009F5BD3"/>
    <w:rsid w:val="00A10341"/>
    <w:rsid w:val="00A24A50"/>
    <w:rsid w:val="00A270F9"/>
    <w:rsid w:val="00A272B3"/>
    <w:rsid w:val="00A3133A"/>
    <w:rsid w:val="00A41036"/>
    <w:rsid w:val="00A45BA8"/>
    <w:rsid w:val="00A507D4"/>
    <w:rsid w:val="00A510C3"/>
    <w:rsid w:val="00A72136"/>
    <w:rsid w:val="00A9287E"/>
    <w:rsid w:val="00A93F8D"/>
    <w:rsid w:val="00A941E8"/>
    <w:rsid w:val="00AA668F"/>
    <w:rsid w:val="00AC6A8B"/>
    <w:rsid w:val="00AD3810"/>
    <w:rsid w:val="00AD3CF0"/>
    <w:rsid w:val="00AD52ED"/>
    <w:rsid w:val="00B0455B"/>
    <w:rsid w:val="00B05B6F"/>
    <w:rsid w:val="00B151BB"/>
    <w:rsid w:val="00B26F61"/>
    <w:rsid w:val="00B37A2D"/>
    <w:rsid w:val="00B408CE"/>
    <w:rsid w:val="00B40B13"/>
    <w:rsid w:val="00B4306C"/>
    <w:rsid w:val="00B81C1B"/>
    <w:rsid w:val="00B859A0"/>
    <w:rsid w:val="00B87A8E"/>
    <w:rsid w:val="00B9585B"/>
    <w:rsid w:val="00BB44CF"/>
    <w:rsid w:val="00BB6700"/>
    <w:rsid w:val="00BC2999"/>
    <w:rsid w:val="00C0567A"/>
    <w:rsid w:val="00C06EEC"/>
    <w:rsid w:val="00C11281"/>
    <w:rsid w:val="00C4114E"/>
    <w:rsid w:val="00C44312"/>
    <w:rsid w:val="00C5137C"/>
    <w:rsid w:val="00C517BD"/>
    <w:rsid w:val="00C53DB8"/>
    <w:rsid w:val="00C62FBA"/>
    <w:rsid w:val="00C65B44"/>
    <w:rsid w:val="00C66E6F"/>
    <w:rsid w:val="00C847ED"/>
    <w:rsid w:val="00C91AB0"/>
    <w:rsid w:val="00C92DDF"/>
    <w:rsid w:val="00C9687C"/>
    <w:rsid w:val="00CA6C26"/>
    <w:rsid w:val="00CB1693"/>
    <w:rsid w:val="00CB3395"/>
    <w:rsid w:val="00CD24A2"/>
    <w:rsid w:val="00CE1A9B"/>
    <w:rsid w:val="00CE2EB8"/>
    <w:rsid w:val="00CE39B6"/>
    <w:rsid w:val="00CF79C7"/>
    <w:rsid w:val="00D11E59"/>
    <w:rsid w:val="00D35065"/>
    <w:rsid w:val="00D44FCC"/>
    <w:rsid w:val="00D46CBC"/>
    <w:rsid w:val="00D4706C"/>
    <w:rsid w:val="00D57FA0"/>
    <w:rsid w:val="00D64359"/>
    <w:rsid w:val="00D76C8D"/>
    <w:rsid w:val="00D829EA"/>
    <w:rsid w:val="00D83043"/>
    <w:rsid w:val="00D91A75"/>
    <w:rsid w:val="00D95338"/>
    <w:rsid w:val="00DC5322"/>
    <w:rsid w:val="00DD0AE0"/>
    <w:rsid w:val="00DD266C"/>
    <w:rsid w:val="00DD2D99"/>
    <w:rsid w:val="00DD4BAE"/>
    <w:rsid w:val="00DE6FAD"/>
    <w:rsid w:val="00E00466"/>
    <w:rsid w:val="00E45F15"/>
    <w:rsid w:val="00E53F10"/>
    <w:rsid w:val="00E569EA"/>
    <w:rsid w:val="00E74EA9"/>
    <w:rsid w:val="00E83D96"/>
    <w:rsid w:val="00E90DBE"/>
    <w:rsid w:val="00E91F7C"/>
    <w:rsid w:val="00EB7F88"/>
    <w:rsid w:val="00EC3ED9"/>
    <w:rsid w:val="00EC681F"/>
    <w:rsid w:val="00ED35E2"/>
    <w:rsid w:val="00ED4367"/>
    <w:rsid w:val="00EE632E"/>
    <w:rsid w:val="00F0441B"/>
    <w:rsid w:val="00F14114"/>
    <w:rsid w:val="00F146FC"/>
    <w:rsid w:val="00F1710B"/>
    <w:rsid w:val="00F20B2D"/>
    <w:rsid w:val="00F264E4"/>
    <w:rsid w:val="00F3720E"/>
    <w:rsid w:val="00F445CA"/>
    <w:rsid w:val="00F616A8"/>
    <w:rsid w:val="00F665AE"/>
    <w:rsid w:val="00F67BB5"/>
    <w:rsid w:val="00F711D5"/>
    <w:rsid w:val="00F82224"/>
    <w:rsid w:val="00F93E99"/>
    <w:rsid w:val="00FA04FF"/>
    <w:rsid w:val="00FA06B9"/>
    <w:rsid w:val="00FA6D8E"/>
    <w:rsid w:val="00FB47A0"/>
    <w:rsid w:val="00FC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semiHidden/>
    <w:unhideWhenUsed/>
    <w:rsid w:val="008227B3"/>
    <w:rPr>
      <w:color w:val="0000FF"/>
      <w:u w:val="single"/>
    </w:rPr>
  </w:style>
  <w:style w:type="paragraph" w:styleId="FootnoteText">
    <w:name w:val="footnote text"/>
    <w:basedOn w:val="Normal"/>
    <w:link w:val="FootnoteTextChar"/>
    <w:uiPriority w:val="99"/>
    <w:semiHidden/>
    <w:unhideWhenUsed/>
    <w:rsid w:val="00702BD4"/>
    <w:pPr>
      <w:spacing w:before="0" w:after="0"/>
    </w:pPr>
    <w:rPr>
      <w:sz w:val="20"/>
      <w:szCs w:val="20"/>
    </w:rPr>
  </w:style>
  <w:style w:type="character" w:customStyle="1" w:styleId="FootnoteTextChar">
    <w:name w:val="Footnote Text Char"/>
    <w:basedOn w:val="DefaultParagraphFont"/>
    <w:link w:val="FootnoteText"/>
    <w:uiPriority w:val="99"/>
    <w:semiHidden/>
    <w:rsid w:val="00702BD4"/>
    <w:rPr>
      <w:rFonts w:eastAsiaTheme="minorEastAsia"/>
      <w:sz w:val="20"/>
      <w:szCs w:val="20"/>
      <w:lang w:eastAsia="ja-JP"/>
    </w:rPr>
  </w:style>
  <w:style w:type="character" w:styleId="FootnoteReference">
    <w:name w:val="footnote reference"/>
    <w:basedOn w:val="DefaultParagraphFont"/>
    <w:uiPriority w:val="99"/>
    <w:semiHidden/>
    <w:unhideWhenUsed/>
    <w:rsid w:val="00702BD4"/>
    <w:rPr>
      <w:vertAlign w:val="superscript"/>
    </w:rPr>
  </w:style>
  <w:style w:type="paragraph" w:styleId="IntenseQuote">
    <w:name w:val="Intense Quote"/>
    <w:basedOn w:val="Normal"/>
    <w:next w:val="Normal"/>
    <w:link w:val="IntenseQuoteChar"/>
    <w:uiPriority w:val="30"/>
    <w:qFormat/>
    <w:rsid w:val="003934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345B"/>
    <w:rPr>
      <w:rFonts w:eastAsiaTheme="minorEastAsia"/>
      <w:i/>
      <w:iCs/>
      <w:color w:val="5B9BD5" w:themeColor="accent1"/>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5.jpg@01D3FE68.6B2643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0F3C-A7AE-4932-8846-C875CB6C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Bond, Joyce</cp:lastModifiedBy>
  <cp:revision>16</cp:revision>
  <dcterms:created xsi:type="dcterms:W3CDTF">2018-06-21T14:22:00Z</dcterms:created>
  <dcterms:modified xsi:type="dcterms:W3CDTF">2018-06-21T18:08:00Z</dcterms:modified>
</cp:coreProperties>
</file>