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E2567A" w:rsidP="00633826">
            <w:pPr>
              <w:pStyle w:val="Standard1"/>
            </w:pPr>
            <w:r w:rsidRPr="00B6368E">
              <w:t>Tre</w:t>
            </w:r>
            <w:r w:rsidR="00BF45C6">
              <w:t>lisa Glazatov, Rhi</w:t>
            </w:r>
            <w:r w:rsidRPr="00B6368E">
              <w:t>annon Lares</w:t>
            </w:r>
            <w:r>
              <w:t xml:space="preserve">, </w:t>
            </w:r>
            <w:r w:rsidR="00A156C8">
              <w:t>Kay Weiss, Jack Jackson</w:t>
            </w:r>
            <w:r>
              <w:t xml:space="preserve">,T.L. Brink, </w:t>
            </w:r>
            <w:r w:rsidR="00633826">
              <w:t>Rania Hamdy</w:t>
            </w:r>
          </w:p>
        </w:tc>
        <w:tc>
          <w:tcPr>
            <w:tcW w:w="5670" w:type="dxa"/>
            <w:gridSpan w:val="2"/>
            <w:shd w:val="clear" w:color="auto" w:fill="FFFFFF"/>
          </w:tcPr>
          <w:p w:rsidR="006F723E" w:rsidRDefault="00633826" w:rsidP="001D311F">
            <w:pPr>
              <w:pStyle w:val="Standard1"/>
              <w:spacing w:before="0" w:after="0"/>
              <w:rPr>
                <w:b/>
              </w:rPr>
            </w:pPr>
            <w:r>
              <w:rPr>
                <w:b/>
              </w:rPr>
              <w:t>4/11</w:t>
            </w:r>
            <w:r w:rsidR="00CF03F7">
              <w:rPr>
                <w:b/>
              </w:rPr>
              <w:t>/2016</w:t>
            </w:r>
          </w:p>
          <w:p w:rsidR="00CE224A" w:rsidRPr="007D18FB" w:rsidRDefault="00FA2DD1" w:rsidP="001D311F">
            <w:pPr>
              <w:pStyle w:val="Standard1"/>
              <w:spacing w:before="0" w:after="0"/>
              <w:rPr>
                <w:b/>
              </w:rPr>
            </w:pPr>
            <w:r>
              <w:rPr>
                <w:b/>
              </w:rPr>
              <w:t>Agenda</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633826" w:rsidP="00633826">
            <w:pPr>
              <w:jc w:val="both"/>
            </w:pPr>
            <w:r>
              <w:t>Approved by Jack;</w:t>
            </w:r>
            <w:r w:rsidR="00E2567A">
              <w:t xml:space="preserve"> seconded </w:t>
            </w:r>
            <w:r w:rsidR="00A156C8">
              <w:t>by Rhiannon</w:t>
            </w:r>
          </w:p>
        </w:tc>
        <w:tc>
          <w:tcPr>
            <w:tcW w:w="2250" w:type="dxa"/>
            <w:shd w:val="clear" w:color="auto" w:fill="FFFFFF"/>
          </w:tcPr>
          <w:p w:rsidR="00215B4C" w:rsidRPr="007D18FB" w:rsidRDefault="00215B4C"/>
        </w:tc>
      </w:tr>
      <w:tr w:rsidR="00215B4C" w:rsidRPr="007D18FB" w:rsidTr="00C0252E">
        <w:trPr>
          <w:cantSplit/>
          <w:trHeight w:val="543"/>
        </w:trPr>
        <w:tc>
          <w:tcPr>
            <w:tcW w:w="2898" w:type="dxa"/>
            <w:shd w:val="clear" w:color="auto" w:fill="FFFFFF"/>
          </w:tcPr>
          <w:p w:rsidR="00FD49BA" w:rsidRPr="007D18FB" w:rsidRDefault="00DE4980">
            <w:r w:rsidRPr="007D18FB">
              <w:t>Crafton Hills reports</w:t>
            </w:r>
          </w:p>
        </w:tc>
        <w:tc>
          <w:tcPr>
            <w:tcW w:w="5310" w:type="dxa"/>
            <w:gridSpan w:val="2"/>
            <w:shd w:val="clear" w:color="auto" w:fill="FFFFFF"/>
          </w:tcPr>
          <w:p w:rsidR="00776347" w:rsidRPr="007D18FB" w:rsidRDefault="00633826" w:rsidP="00776347">
            <w:pPr>
              <w:jc w:val="both"/>
            </w:pPr>
            <w:r>
              <w:t>T.L. Reported that Crafton is considering possibly applying for the OER grant.</w:t>
            </w:r>
          </w:p>
        </w:tc>
        <w:tc>
          <w:tcPr>
            <w:tcW w:w="2250" w:type="dxa"/>
            <w:shd w:val="clear" w:color="auto" w:fill="FFFFFF"/>
          </w:tcPr>
          <w:p w:rsidR="00AD2946" w:rsidRPr="007D18FB" w:rsidRDefault="00AD2946" w:rsidP="006D2687"/>
        </w:tc>
      </w:tr>
      <w:tr w:rsidR="00360A0D" w:rsidRPr="007D18FB" w:rsidTr="00C0252E">
        <w:trPr>
          <w:cantSplit/>
          <w:trHeight w:val="435"/>
        </w:trPr>
        <w:tc>
          <w:tcPr>
            <w:tcW w:w="2898" w:type="dxa"/>
            <w:shd w:val="clear" w:color="auto" w:fill="FFFFFF"/>
          </w:tcPr>
          <w:p w:rsidR="00FD49BA" w:rsidRDefault="00DE4980">
            <w:r w:rsidRPr="007D18FB">
              <w:t>Valley College Reports</w:t>
            </w:r>
          </w:p>
          <w:p w:rsidR="00FD49BA" w:rsidRPr="007D18FB" w:rsidRDefault="00FD49BA"/>
        </w:tc>
        <w:tc>
          <w:tcPr>
            <w:tcW w:w="5310" w:type="dxa"/>
            <w:gridSpan w:val="2"/>
            <w:shd w:val="clear" w:color="auto" w:fill="FFFFFF"/>
          </w:tcPr>
          <w:p w:rsidR="00490191" w:rsidRPr="007D18FB" w:rsidRDefault="00B14AFF" w:rsidP="00633826">
            <w:pPr>
              <w:jc w:val="both"/>
            </w:pPr>
            <w:r>
              <w:t>J</w:t>
            </w:r>
            <w:r w:rsidR="00633826">
              <w:t xml:space="preserve">ack reported that for the summer session Valley will have 104 DE section from 23 departments and 53 faculty teaching.   Valley is working on cleaning up the Universal Access Point so that current information is available to students.   The campus is in the process of setting up faculty forums during april to discuss potentially adopting Canvas as the LMS.   The Academic Senate will have its second reading on Open Education Resources.   The Academic Senate will have its first reading for the DE Coordinator position </w:t>
            </w:r>
            <w:r w:rsidR="00D97E6D">
              <w:t>coming up  and second reading is April 20</w:t>
            </w:r>
            <w:r w:rsidR="00D97E6D" w:rsidRPr="00D97E6D">
              <w:rPr>
                <w:vertAlign w:val="superscript"/>
              </w:rPr>
              <w:t>th</w:t>
            </w:r>
            <w:r w:rsidR="00D97E6D">
              <w:t>.</w:t>
            </w:r>
          </w:p>
        </w:tc>
        <w:tc>
          <w:tcPr>
            <w:tcW w:w="2250" w:type="dxa"/>
            <w:shd w:val="clear" w:color="auto" w:fill="FFFFFF"/>
          </w:tcPr>
          <w:p w:rsidR="006271D2" w:rsidRPr="007D18FB" w:rsidRDefault="006271D2"/>
        </w:tc>
      </w:tr>
      <w:tr w:rsidR="00360A0D" w:rsidRPr="007D18FB" w:rsidTr="00C0252E">
        <w:trPr>
          <w:cantSplit/>
          <w:trHeight w:val="408"/>
        </w:trPr>
        <w:tc>
          <w:tcPr>
            <w:tcW w:w="2898" w:type="dxa"/>
            <w:shd w:val="clear" w:color="auto" w:fill="FFFFFF"/>
          </w:tcPr>
          <w:p w:rsidR="003C10FB" w:rsidRPr="000F268D" w:rsidRDefault="00DE4980" w:rsidP="003C10FB">
            <w:r w:rsidRPr="000F268D">
              <w:t>Di</w:t>
            </w:r>
            <w:r w:rsidR="004A60AB">
              <w:t>stance</w:t>
            </w:r>
            <w:r w:rsidRPr="000F268D">
              <w:t xml:space="preserve"> Education Reports </w:t>
            </w:r>
          </w:p>
          <w:p w:rsidR="00117575" w:rsidRPr="000F268D" w:rsidRDefault="00117575" w:rsidP="00905F82">
            <w:pPr>
              <w:ind w:left="360"/>
              <w:rPr>
                <w:b/>
              </w:rPr>
            </w:pPr>
          </w:p>
        </w:tc>
        <w:tc>
          <w:tcPr>
            <w:tcW w:w="5310" w:type="dxa"/>
            <w:gridSpan w:val="2"/>
            <w:shd w:val="clear" w:color="auto" w:fill="FFFFFF"/>
          </w:tcPr>
          <w:p w:rsidR="00354FC3" w:rsidRPr="007D18FB" w:rsidRDefault="00633826" w:rsidP="0078439A">
            <w:r>
              <w:t>No report</w:t>
            </w: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Default="005671D9" w:rsidP="005671D9">
            <w:r w:rsidRPr="005B0C6D">
              <w:t xml:space="preserve">Discussion Items </w:t>
            </w:r>
          </w:p>
          <w:p w:rsidR="00730853" w:rsidRDefault="00730853" w:rsidP="005671D9"/>
          <w:p w:rsidR="00490191" w:rsidRDefault="00633826" w:rsidP="005671D9">
            <w:pPr>
              <w:rPr>
                <w:color w:val="000000"/>
              </w:rPr>
            </w:pPr>
            <w:r>
              <w:rPr>
                <w:color w:val="000000"/>
              </w:rPr>
              <w:t>Non-renewal of Turnitin (Tre)</w:t>
            </w: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8668AF" w:rsidRDefault="008668AF" w:rsidP="005671D9"/>
          <w:p w:rsidR="00D97E6D" w:rsidRDefault="00D97E6D" w:rsidP="005671D9"/>
          <w:p w:rsidR="008668AF" w:rsidRPr="008668AF" w:rsidRDefault="00633826" w:rsidP="005671D9">
            <w:r>
              <w:rPr>
                <w:color w:val="000000"/>
              </w:rPr>
              <w:t>Fall DE Prof Development offerings</w:t>
            </w:r>
            <w:r w:rsidR="001D09A5">
              <w:rPr>
                <w:color w:val="000000"/>
              </w:rPr>
              <w:t xml:space="preserve"> (</w:t>
            </w:r>
            <w:r>
              <w:rPr>
                <w:color w:val="000000"/>
              </w:rPr>
              <w:t>Tre</w:t>
            </w:r>
            <w:r w:rsidR="00490191">
              <w:rPr>
                <w:color w:val="000000"/>
              </w:rPr>
              <w:t>)</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235D3B" w:rsidRDefault="00235D3B" w:rsidP="005671D9"/>
          <w:p w:rsidR="007D7027" w:rsidRDefault="007D7027" w:rsidP="005671D9"/>
          <w:p w:rsidR="008668AF" w:rsidRPr="008668AF" w:rsidRDefault="008668AF" w:rsidP="005671D9"/>
          <w:p w:rsidR="005671D9" w:rsidRPr="005B0C6D" w:rsidRDefault="005671D9" w:rsidP="00B868FE"/>
        </w:tc>
        <w:tc>
          <w:tcPr>
            <w:tcW w:w="5310" w:type="dxa"/>
            <w:gridSpan w:val="2"/>
            <w:shd w:val="clear" w:color="auto" w:fill="FFFFFF"/>
          </w:tcPr>
          <w:p w:rsidR="00235D3B" w:rsidRDefault="00235D3B" w:rsidP="00187E86">
            <w:pPr>
              <w:jc w:val="both"/>
            </w:pPr>
          </w:p>
          <w:p w:rsidR="00490191" w:rsidRDefault="00490191" w:rsidP="0001313A">
            <w:pPr>
              <w:jc w:val="both"/>
            </w:pPr>
          </w:p>
          <w:p w:rsidR="0001313A" w:rsidRDefault="00D97E6D" w:rsidP="0001313A">
            <w:pPr>
              <w:jc w:val="both"/>
            </w:pPr>
            <w:r>
              <w:t>Trelisa discussed that the current Turnitin contract is ending August 2016.  The costs have continued to increase over the last several years.  It is expected that if the District chooses to renew that it will be at least $30K annually based on the pricing rate recently released by Turnitin.   Based on our reports currently there are a total of 60 faculty who have used Turnitin in some capacity over the last 2 years.   Due to several factors including increasing costs, OEI/State not deciding on a statewide platform, accessibility concerns, and alternative platform for the immediate future (Bb SafeAssign), the District will not be renewing the Turnitin contract.  The DE office will be notifying faculty and will be providing training on SafeAssign as an alternative platform.  DECC committee feedback was that the decision was agreeable and concurrence of training and transitioning for affected faculty.</w:t>
            </w:r>
          </w:p>
          <w:p w:rsidR="0001313A" w:rsidRDefault="0001313A" w:rsidP="0001313A">
            <w:pPr>
              <w:jc w:val="both"/>
            </w:pPr>
          </w:p>
          <w:p w:rsidR="0001313A" w:rsidRDefault="0001313A" w:rsidP="0001313A">
            <w:pPr>
              <w:jc w:val="both"/>
            </w:pPr>
          </w:p>
          <w:p w:rsidR="00600511" w:rsidRDefault="00D97E6D" w:rsidP="00B00BE7">
            <w:pPr>
              <w:jc w:val="both"/>
            </w:pPr>
            <w:r>
              <w:t>Trelisa and Rhiannon reported that the DE office will be offering hybrid courses for faculty to expand access to training.   The DE office will be modeling the courses around the @One/OEI creative commons course currently offered including Accessibility</w:t>
            </w:r>
            <w:r w:rsidR="00B00BE7">
              <w:t xml:space="preserve"> and Course Design</w:t>
            </w:r>
            <w:r>
              <w:t xml:space="preserve"> .  It is hoped that the hybrid courses will support the colleges efforts to increase training around DE related topics and to prepare for changes in online education that </w:t>
            </w:r>
            <w:r w:rsidR="00B00BE7">
              <w:t>are being promoted by the State.</w:t>
            </w:r>
            <w:r>
              <w:t xml:space="preserve">  </w:t>
            </w:r>
            <w:r w:rsidR="00B00BE7">
              <w:t xml:space="preserve">The DE office will work with the colleges’ PD coordinators to identify other fall offerings for staff and faculty. There was discussion around if localized training based on the @One courses would be accepted if the colleges choose to participate in the State Exchange.  Rhiannon will follow up with the State liaison to clarify if there are requirements for faculty regarding the exchange and how that may affect what types of training is offered at the local level. </w:t>
            </w: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633826" w:rsidP="00BB6B58">
            <w:pPr>
              <w:jc w:val="both"/>
            </w:pPr>
            <w:r>
              <w:t>May 9</w:t>
            </w:r>
            <w:r w:rsidR="0001313A">
              <w:t>,2016  1:30 pm</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EB" w:rsidRDefault="00B130EB">
      <w:r>
        <w:separator/>
      </w:r>
    </w:p>
  </w:endnote>
  <w:endnote w:type="continuationSeparator" w:id="0">
    <w:p w:rsidR="00B130EB" w:rsidRDefault="00B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EB" w:rsidRDefault="00B130EB">
      <w:r>
        <w:separator/>
      </w:r>
    </w:p>
  </w:footnote>
  <w:footnote w:type="continuationSeparator" w:id="0">
    <w:p w:rsidR="00B130EB" w:rsidRDefault="00B13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041FB"/>
    <w:rsid w:val="000109CE"/>
    <w:rsid w:val="0001313A"/>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47AE"/>
    <w:rsid w:val="00125D52"/>
    <w:rsid w:val="00126712"/>
    <w:rsid w:val="00127967"/>
    <w:rsid w:val="0013694D"/>
    <w:rsid w:val="00137CB0"/>
    <w:rsid w:val="001414A5"/>
    <w:rsid w:val="001728AD"/>
    <w:rsid w:val="0018177E"/>
    <w:rsid w:val="00183906"/>
    <w:rsid w:val="00184CA8"/>
    <w:rsid w:val="00185BA5"/>
    <w:rsid w:val="00187E86"/>
    <w:rsid w:val="001A29ED"/>
    <w:rsid w:val="001B239A"/>
    <w:rsid w:val="001B3AFC"/>
    <w:rsid w:val="001C0063"/>
    <w:rsid w:val="001C136A"/>
    <w:rsid w:val="001C2D8A"/>
    <w:rsid w:val="001D056D"/>
    <w:rsid w:val="001D09A5"/>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2073"/>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1C83"/>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57DE"/>
    <w:rsid w:val="00476678"/>
    <w:rsid w:val="004805F9"/>
    <w:rsid w:val="00480821"/>
    <w:rsid w:val="004871FA"/>
    <w:rsid w:val="00490191"/>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0DB1"/>
    <w:rsid w:val="00501A51"/>
    <w:rsid w:val="00504535"/>
    <w:rsid w:val="00514AE2"/>
    <w:rsid w:val="00514F9A"/>
    <w:rsid w:val="005219A3"/>
    <w:rsid w:val="00525522"/>
    <w:rsid w:val="00526B63"/>
    <w:rsid w:val="005613DD"/>
    <w:rsid w:val="005671D9"/>
    <w:rsid w:val="005831A6"/>
    <w:rsid w:val="00583CD0"/>
    <w:rsid w:val="0058596E"/>
    <w:rsid w:val="005B0C6D"/>
    <w:rsid w:val="005C0C93"/>
    <w:rsid w:val="005D3392"/>
    <w:rsid w:val="005D5319"/>
    <w:rsid w:val="005F6A4C"/>
    <w:rsid w:val="00600511"/>
    <w:rsid w:val="00603E16"/>
    <w:rsid w:val="00623138"/>
    <w:rsid w:val="006271D2"/>
    <w:rsid w:val="00633826"/>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347"/>
    <w:rsid w:val="007768AE"/>
    <w:rsid w:val="007803BC"/>
    <w:rsid w:val="007825CA"/>
    <w:rsid w:val="0078439A"/>
    <w:rsid w:val="007909F8"/>
    <w:rsid w:val="00790FFB"/>
    <w:rsid w:val="00791E26"/>
    <w:rsid w:val="007A0B95"/>
    <w:rsid w:val="007A3D09"/>
    <w:rsid w:val="007A43E1"/>
    <w:rsid w:val="007B1DD5"/>
    <w:rsid w:val="007C2158"/>
    <w:rsid w:val="007C7B79"/>
    <w:rsid w:val="007D18FB"/>
    <w:rsid w:val="007D7027"/>
    <w:rsid w:val="007E4EE4"/>
    <w:rsid w:val="0080515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5B5D"/>
    <w:rsid w:val="009E5BA7"/>
    <w:rsid w:val="009F14E1"/>
    <w:rsid w:val="009F26A9"/>
    <w:rsid w:val="00A05D10"/>
    <w:rsid w:val="00A10FDE"/>
    <w:rsid w:val="00A156C8"/>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0BE7"/>
    <w:rsid w:val="00B03563"/>
    <w:rsid w:val="00B1184A"/>
    <w:rsid w:val="00B129BC"/>
    <w:rsid w:val="00B130EB"/>
    <w:rsid w:val="00B14AFF"/>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45C6"/>
    <w:rsid w:val="00BF65BE"/>
    <w:rsid w:val="00BF72C6"/>
    <w:rsid w:val="00C0252E"/>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03F7"/>
    <w:rsid w:val="00CF3A9A"/>
    <w:rsid w:val="00D03674"/>
    <w:rsid w:val="00D141C1"/>
    <w:rsid w:val="00D24E96"/>
    <w:rsid w:val="00D32A07"/>
    <w:rsid w:val="00D46362"/>
    <w:rsid w:val="00D56DB7"/>
    <w:rsid w:val="00D62899"/>
    <w:rsid w:val="00D743C6"/>
    <w:rsid w:val="00D751C3"/>
    <w:rsid w:val="00D97E6D"/>
    <w:rsid w:val="00DA0D42"/>
    <w:rsid w:val="00DA6EE0"/>
    <w:rsid w:val="00DC3DE9"/>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40CB-AF87-4EE2-8563-87EC480F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2015-10-12T20:20:00Z</cp:lastPrinted>
  <dcterms:created xsi:type="dcterms:W3CDTF">2016-05-09T17:38:00Z</dcterms:created>
  <dcterms:modified xsi:type="dcterms:W3CDTF">2016-05-09T17:38:00Z</dcterms:modified>
</cp:coreProperties>
</file>