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4A0A2F">
        <w:t>November</w:t>
      </w:r>
      <w:r w:rsidR="004B7E5F">
        <w:t xml:space="preserve"> </w:t>
      </w:r>
      <w:r w:rsidR="004A0A2F">
        <w:t>29</w:t>
      </w:r>
      <w:r w:rsidR="00950C86">
        <w:t>, 2012</w:t>
      </w:r>
    </w:p>
    <w:p w:rsidR="00E148B8" w:rsidRDefault="00E148B8" w:rsidP="00E148B8"/>
    <w:p w:rsidR="00F40525" w:rsidRDefault="00F40525" w:rsidP="00F40525">
      <w:pPr>
        <w:ind w:left="0"/>
      </w:pPr>
    </w:p>
    <w:p w:rsidR="00F40525" w:rsidRDefault="00F40525" w:rsidP="00F40525">
      <w:pPr>
        <w:ind w:left="0"/>
      </w:pPr>
      <w:bookmarkStart w:id="0" w:name="_GoBack"/>
      <w:bookmarkEnd w:id="0"/>
      <w:r>
        <w:t xml:space="preserve">The </w:t>
      </w:r>
      <w:r w:rsidR="004B7E5F">
        <w:t>1</w:t>
      </w:r>
      <w:r w:rsidR="004A0A2F">
        <w:t>1</w:t>
      </w:r>
      <w:r w:rsidR="00FA38FE">
        <w:t>/</w:t>
      </w:r>
      <w:r w:rsidR="004A0A2F">
        <w:t>29</w:t>
      </w:r>
      <w:r w:rsidR="00FA38FE">
        <w:t>/1</w:t>
      </w:r>
      <w:r w:rsidR="007C31C1">
        <w:t>2</w:t>
      </w:r>
      <w:r w:rsidR="00FA38FE">
        <w:t xml:space="preserve"> </w:t>
      </w:r>
      <w:r w:rsidR="00950C86">
        <w:t xml:space="preserve">MIS </w:t>
      </w:r>
      <w:r>
        <w:t xml:space="preserve">meeting </w:t>
      </w:r>
      <w:r w:rsidR="00831C85">
        <w:t>began</w:t>
      </w:r>
      <w:r>
        <w:t xml:space="preserve"> at 8:3</w:t>
      </w:r>
      <w:r w:rsidR="004A0A2F">
        <w:t xml:space="preserve">5 </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F47CD8" w:rsidRPr="00E148B8" w:rsidRDefault="00F47CD8" w:rsidP="002A72BE">
      <w:pPr>
        <w:ind w:left="0" w:right="-450"/>
      </w:pPr>
      <w:r>
        <w:t xml:space="preserve">Present:  </w:t>
      </w:r>
      <w:r w:rsidRPr="00716DC8">
        <w:rPr>
          <w:i/>
        </w:rPr>
        <w:t>Amalia Perez</w:t>
      </w:r>
      <w:r>
        <w:t xml:space="preserve">*, </w:t>
      </w:r>
      <w:r w:rsidR="00FE41F3" w:rsidRPr="00716DC8">
        <w:rPr>
          <w:i/>
        </w:rPr>
        <w:t>Corrina Baber</w:t>
      </w:r>
      <w:r w:rsidR="00FE41F3">
        <w:t>*</w:t>
      </w:r>
      <w:r w:rsidR="004B7E5F">
        <w:t xml:space="preserve">, </w:t>
      </w:r>
      <w:r w:rsidR="004A0A2F" w:rsidRPr="004A0A2F">
        <w:rPr>
          <w:i/>
        </w:rPr>
        <w:t xml:space="preserve">Keith Wurtz, </w:t>
      </w:r>
      <w:r w:rsidR="004B7E5F" w:rsidRPr="004A0A2F">
        <w:rPr>
          <w:i/>
        </w:rPr>
        <w:t>Joyce Bond</w:t>
      </w:r>
      <w:r w:rsidR="00EB2C65" w:rsidRPr="004A0A2F">
        <w:rPr>
          <w:i/>
        </w:rPr>
        <w:t>,</w:t>
      </w:r>
      <w:r w:rsidR="00FE41F3" w:rsidRPr="004A0A2F">
        <w:rPr>
          <w:i/>
        </w:rPr>
        <w:t xml:space="preserve"> </w:t>
      </w:r>
      <w:r w:rsidR="004A0A2F" w:rsidRPr="004A0A2F">
        <w:rPr>
          <w:i/>
        </w:rPr>
        <w:t>Cory Brady</w:t>
      </w:r>
      <w:r w:rsidR="004A0A2F">
        <w:t xml:space="preserve">, </w:t>
      </w:r>
      <w:r>
        <w:t xml:space="preserve">and </w:t>
      </w:r>
      <w:r w:rsidRPr="00716DC8">
        <w:rPr>
          <w:i/>
        </w:rPr>
        <w:t>Dianna Jones</w:t>
      </w:r>
    </w:p>
    <w:p w:rsidR="00BF7085" w:rsidRDefault="00BF7085" w:rsidP="007B651A">
      <w:pPr>
        <w:pStyle w:val="BodyText2"/>
        <w:ind w:left="180" w:right="-450"/>
        <w:rPr>
          <w:sz w:val="22"/>
          <w:szCs w:val="22"/>
        </w:rPr>
      </w:pPr>
    </w:p>
    <w:p w:rsidR="002A72BE" w:rsidRDefault="002A72BE" w:rsidP="007B651A">
      <w:pPr>
        <w:pStyle w:val="BodyText2"/>
        <w:ind w:left="180" w:right="-450"/>
        <w:rPr>
          <w:sz w:val="22"/>
          <w:szCs w:val="22"/>
        </w:rPr>
      </w:pPr>
    </w:p>
    <w:p w:rsidR="000B78BF" w:rsidRPr="007B651A" w:rsidRDefault="007D2DDA" w:rsidP="000B78BF">
      <w:pPr>
        <w:pStyle w:val="ListNumber"/>
        <w:spacing w:before="0"/>
        <w:rPr>
          <w:u w:val="none"/>
        </w:rPr>
      </w:pPr>
      <w:r>
        <w:rPr>
          <w:u w:val="none"/>
        </w:rPr>
        <w:t>Financial Aid RESUBMISSIONS (2010 &amp; 2011) – Zero $ BOGWs</w:t>
      </w:r>
    </w:p>
    <w:p w:rsidR="004A0A2F" w:rsidRDefault="004B7E5F" w:rsidP="004B7E5F">
      <w:pPr>
        <w:pStyle w:val="ListNumber"/>
        <w:numPr>
          <w:ilvl w:val="0"/>
          <w:numId w:val="0"/>
        </w:numPr>
        <w:spacing w:before="0" w:after="0"/>
        <w:ind w:left="180"/>
        <w:rPr>
          <w:b w:val="0"/>
          <w:sz w:val="22"/>
          <w:szCs w:val="22"/>
          <w:u w:val="none"/>
        </w:rPr>
      </w:pPr>
      <w:r>
        <w:rPr>
          <w:b w:val="0"/>
          <w:sz w:val="22"/>
          <w:szCs w:val="22"/>
          <w:u w:val="none"/>
        </w:rPr>
        <w:t xml:space="preserve">We </w:t>
      </w:r>
      <w:r w:rsidR="004A0A2F">
        <w:rPr>
          <w:b w:val="0"/>
          <w:sz w:val="22"/>
          <w:szCs w:val="22"/>
          <w:u w:val="none"/>
        </w:rPr>
        <w:t xml:space="preserve">met the </w:t>
      </w:r>
      <w:r>
        <w:rPr>
          <w:b w:val="0"/>
          <w:sz w:val="22"/>
          <w:szCs w:val="22"/>
          <w:u w:val="none"/>
        </w:rPr>
        <w:t xml:space="preserve">target </w:t>
      </w:r>
      <w:r w:rsidR="004A0A2F">
        <w:rPr>
          <w:b w:val="0"/>
          <w:sz w:val="22"/>
          <w:szCs w:val="22"/>
          <w:u w:val="none"/>
        </w:rPr>
        <w:t xml:space="preserve">resubmission deadline of </w:t>
      </w:r>
      <w:r>
        <w:rPr>
          <w:b w:val="0"/>
          <w:sz w:val="22"/>
          <w:szCs w:val="22"/>
          <w:u w:val="none"/>
        </w:rPr>
        <w:t>October 26</w:t>
      </w:r>
      <w:r w:rsidRPr="004B7E5F">
        <w:rPr>
          <w:b w:val="0"/>
          <w:sz w:val="22"/>
          <w:szCs w:val="22"/>
          <w:u w:val="none"/>
          <w:vertAlign w:val="superscript"/>
        </w:rPr>
        <w:t>th</w:t>
      </w:r>
      <w:r>
        <w:rPr>
          <w:b w:val="0"/>
          <w:sz w:val="22"/>
          <w:szCs w:val="22"/>
          <w:u w:val="none"/>
        </w:rPr>
        <w:t xml:space="preserve">, 2012 </w:t>
      </w:r>
      <w:r w:rsidR="004A0A2F">
        <w:rPr>
          <w:b w:val="0"/>
          <w:sz w:val="22"/>
          <w:szCs w:val="22"/>
          <w:u w:val="none"/>
        </w:rPr>
        <w:t>for the Annual 2010 and 2011 Financial Aid files which included ‘validated’ zero dollar BOG awards.</w:t>
      </w:r>
      <w:r w:rsidR="0043713A">
        <w:rPr>
          <w:b w:val="0"/>
          <w:sz w:val="22"/>
          <w:szCs w:val="22"/>
          <w:u w:val="none"/>
        </w:rPr>
        <w:t xml:space="preserve">  </w:t>
      </w:r>
      <w:r w:rsidR="00A93A48">
        <w:rPr>
          <w:b w:val="0"/>
          <w:sz w:val="22"/>
          <w:szCs w:val="22"/>
          <w:u w:val="none"/>
        </w:rPr>
        <w:t>After validation of attendance</w:t>
      </w:r>
      <w:r w:rsidR="00B4609E">
        <w:rPr>
          <w:b w:val="0"/>
          <w:sz w:val="22"/>
          <w:szCs w:val="22"/>
          <w:u w:val="none"/>
        </w:rPr>
        <w:t>,</w:t>
      </w:r>
      <w:r w:rsidR="00A93A48">
        <w:rPr>
          <w:b w:val="0"/>
          <w:sz w:val="22"/>
          <w:szCs w:val="22"/>
          <w:u w:val="none"/>
        </w:rPr>
        <w:t xml:space="preserve"> the resultant number of Unduplicated Students with Zero $ BOGW awards </w:t>
      </w:r>
      <w:r w:rsidR="00B4609E">
        <w:rPr>
          <w:b w:val="0"/>
          <w:sz w:val="22"/>
          <w:szCs w:val="22"/>
          <w:u w:val="none"/>
        </w:rPr>
        <w:t>showed a</w:t>
      </w:r>
      <w:r w:rsidR="00901B5F">
        <w:rPr>
          <w:b w:val="0"/>
          <w:sz w:val="22"/>
          <w:szCs w:val="22"/>
          <w:u w:val="none"/>
        </w:rPr>
        <w:t xml:space="preserve"> total</w:t>
      </w:r>
      <w:r w:rsidR="00B4609E">
        <w:rPr>
          <w:b w:val="0"/>
          <w:sz w:val="22"/>
          <w:szCs w:val="22"/>
          <w:u w:val="none"/>
        </w:rPr>
        <w:t xml:space="preserve"> increase of 12 for Crafton and 35 for Valley.</w:t>
      </w:r>
      <w:r w:rsidR="0043713A">
        <w:rPr>
          <w:b w:val="0"/>
          <w:sz w:val="22"/>
          <w:szCs w:val="22"/>
          <w:u w:val="none"/>
        </w:rPr>
        <w:t xml:space="preserve">  </w:t>
      </w:r>
      <w:r w:rsidR="004A0A2F">
        <w:rPr>
          <w:b w:val="0"/>
          <w:sz w:val="22"/>
          <w:szCs w:val="22"/>
          <w:u w:val="none"/>
        </w:rPr>
        <w:t xml:space="preserve">Keith asked </w:t>
      </w:r>
      <w:r w:rsidR="00901B5F">
        <w:rPr>
          <w:b w:val="0"/>
          <w:sz w:val="22"/>
          <w:szCs w:val="22"/>
          <w:u w:val="none"/>
        </w:rPr>
        <w:t>for</w:t>
      </w:r>
      <w:r w:rsidR="00B4609E">
        <w:rPr>
          <w:b w:val="0"/>
          <w:sz w:val="22"/>
          <w:szCs w:val="22"/>
          <w:u w:val="none"/>
        </w:rPr>
        <w:t xml:space="preserve"> </w:t>
      </w:r>
      <w:r w:rsidR="004A0A2F">
        <w:rPr>
          <w:b w:val="0"/>
          <w:sz w:val="22"/>
          <w:szCs w:val="22"/>
          <w:u w:val="none"/>
        </w:rPr>
        <w:t xml:space="preserve">the total number of </w:t>
      </w:r>
      <w:r w:rsidR="00B4609E">
        <w:rPr>
          <w:b w:val="0"/>
          <w:sz w:val="22"/>
          <w:szCs w:val="22"/>
          <w:u w:val="none"/>
        </w:rPr>
        <w:t xml:space="preserve">validated </w:t>
      </w:r>
      <w:r w:rsidR="004A0A2F">
        <w:rPr>
          <w:b w:val="0"/>
          <w:sz w:val="22"/>
          <w:szCs w:val="22"/>
          <w:u w:val="none"/>
        </w:rPr>
        <w:t xml:space="preserve">Zero Dollar BOGs </w:t>
      </w:r>
      <w:r w:rsidR="00B4609E">
        <w:rPr>
          <w:b w:val="0"/>
          <w:sz w:val="22"/>
          <w:szCs w:val="22"/>
          <w:u w:val="none"/>
        </w:rPr>
        <w:t xml:space="preserve">that were </w:t>
      </w:r>
      <w:r w:rsidR="004A0A2F">
        <w:rPr>
          <w:b w:val="0"/>
          <w:sz w:val="22"/>
          <w:szCs w:val="22"/>
          <w:u w:val="none"/>
        </w:rPr>
        <w:t>included in the resubmissions</w:t>
      </w:r>
      <w:r w:rsidR="00901B5F">
        <w:rPr>
          <w:b w:val="0"/>
          <w:sz w:val="22"/>
          <w:szCs w:val="22"/>
          <w:u w:val="none"/>
        </w:rPr>
        <w:t xml:space="preserve"> --- these</w:t>
      </w:r>
      <w:r w:rsidR="00B4609E">
        <w:rPr>
          <w:b w:val="0"/>
          <w:sz w:val="22"/>
          <w:szCs w:val="22"/>
          <w:u w:val="none"/>
        </w:rPr>
        <w:t xml:space="preserve"> numbers are listed below</w:t>
      </w:r>
      <w:r w:rsidR="004A0A2F">
        <w:rPr>
          <w:b w:val="0"/>
          <w:sz w:val="22"/>
          <w:szCs w:val="22"/>
          <w:u w:val="none"/>
        </w:rPr>
        <w:t>:</w:t>
      </w:r>
    </w:p>
    <w:p w:rsidR="00205C86" w:rsidRDefault="00205C86" w:rsidP="004B7E5F">
      <w:pPr>
        <w:pStyle w:val="ListNumber"/>
        <w:numPr>
          <w:ilvl w:val="0"/>
          <w:numId w:val="0"/>
        </w:numPr>
        <w:spacing w:before="0" w:after="0"/>
        <w:ind w:left="180"/>
        <w:rPr>
          <w:b w:val="0"/>
          <w:sz w:val="22"/>
          <w:szCs w:val="22"/>
          <w:u w:val="none"/>
        </w:rPr>
      </w:pPr>
    </w:p>
    <w:tbl>
      <w:tblPr>
        <w:tblStyle w:val="TableGrid"/>
        <w:tblW w:w="0" w:type="auto"/>
        <w:tblInd w:w="288" w:type="dxa"/>
        <w:tblLayout w:type="fixed"/>
        <w:tblLook w:val="04A0" w:firstRow="1" w:lastRow="0" w:firstColumn="1" w:lastColumn="0" w:noHBand="0" w:noVBand="1"/>
      </w:tblPr>
      <w:tblGrid>
        <w:gridCol w:w="1080"/>
        <w:gridCol w:w="990"/>
        <w:gridCol w:w="720"/>
        <w:gridCol w:w="990"/>
        <w:gridCol w:w="990"/>
        <w:gridCol w:w="900"/>
        <w:gridCol w:w="1260"/>
        <w:gridCol w:w="1170"/>
      </w:tblGrid>
      <w:tr w:rsidR="00901B5F" w:rsidTr="00901B5F">
        <w:trPr>
          <w:trHeight w:val="278"/>
        </w:trPr>
        <w:tc>
          <w:tcPr>
            <w:tcW w:w="6930" w:type="dxa"/>
            <w:gridSpan w:val="7"/>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r w:rsidRPr="00A93A48">
              <w:rPr>
                <w:sz w:val="22"/>
                <w:szCs w:val="22"/>
                <w:u w:val="none"/>
              </w:rPr>
              <w:t>Zero $ BOGWs per TERM by College</w:t>
            </w:r>
          </w:p>
        </w:tc>
        <w:tc>
          <w:tcPr>
            <w:tcW w:w="1170" w:type="dxa"/>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p>
        </w:tc>
      </w:tr>
      <w:tr w:rsidR="00901B5F" w:rsidTr="00901B5F">
        <w:trPr>
          <w:trHeight w:val="278"/>
        </w:trPr>
        <w:tc>
          <w:tcPr>
            <w:tcW w:w="1080" w:type="dxa"/>
            <w:vMerge w:val="restart"/>
            <w:shd w:val="clear" w:color="auto" w:fill="B8CCE4" w:themeFill="accent1" w:themeFillTint="66"/>
          </w:tcPr>
          <w:p w:rsidR="00901B5F" w:rsidRPr="00A93A48" w:rsidRDefault="00901B5F" w:rsidP="004B7E5F">
            <w:pPr>
              <w:pStyle w:val="ListNumber"/>
              <w:spacing w:before="0" w:after="0"/>
              <w:ind w:left="0"/>
              <w:rPr>
                <w:sz w:val="22"/>
                <w:szCs w:val="22"/>
                <w:u w:val="none"/>
              </w:rPr>
            </w:pPr>
          </w:p>
          <w:p w:rsidR="00901B5F" w:rsidRPr="00A93A48" w:rsidRDefault="00901B5F" w:rsidP="004B7E5F">
            <w:pPr>
              <w:pStyle w:val="ListNumber"/>
              <w:spacing w:before="0" w:after="0"/>
              <w:ind w:left="0"/>
              <w:rPr>
                <w:u w:val="none"/>
              </w:rPr>
            </w:pPr>
            <w:r w:rsidRPr="00A93A48">
              <w:rPr>
                <w:u w:val="none"/>
              </w:rPr>
              <w:t>College</w:t>
            </w:r>
          </w:p>
        </w:tc>
        <w:tc>
          <w:tcPr>
            <w:tcW w:w="2700" w:type="dxa"/>
            <w:gridSpan w:val="3"/>
            <w:tcBorders>
              <w:bottom w:val="single" w:sz="4" w:space="0" w:color="auto"/>
              <w:right w:val="double" w:sz="4" w:space="0" w:color="auto"/>
            </w:tcBorders>
            <w:shd w:val="clear" w:color="auto" w:fill="B8CCE4" w:themeFill="accent1" w:themeFillTint="66"/>
          </w:tcPr>
          <w:p w:rsidR="00901B5F" w:rsidRPr="00A93A48" w:rsidRDefault="00901B5F" w:rsidP="00A26F1E">
            <w:pPr>
              <w:pStyle w:val="ListNumber"/>
              <w:numPr>
                <w:ilvl w:val="0"/>
                <w:numId w:val="0"/>
              </w:numPr>
              <w:spacing w:before="0" w:after="0"/>
              <w:jc w:val="center"/>
              <w:rPr>
                <w:sz w:val="22"/>
                <w:szCs w:val="22"/>
                <w:u w:val="none"/>
              </w:rPr>
            </w:pPr>
            <w:r w:rsidRPr="00A93A48">
              <w:rPr>
                <w:sz w:val="22"/>
                <w:szCs w:val="22"/>
                <w:u w:val="none"/>
              </w:rPr>
              <w:t>Annual 2010</w:t>
            </w:r>
          </w:p>
        </w:tc>
        <w:tc>
          <w:tcPr>
            <w:tcW w:w="3150" w:type="dxa"/>
            <w:gridSpan w:val="3"/>
            <w:tcBorders>
              <w:left w:val="double" w:sz="4" w:space="0" w:color="auto"/>
              <w:bottom w:val="single" w:sz="4" w:space="0" w:color="auto"/>
            </w:tcBorders>
            <w:shd w:val="clear" w:color="auto" w:fill="B8CCE4" w:themeFill="accent1" w:themeFillTint="66"/>
          </w:tcPr>
          <w:p w:rsidR="00901B5F" w:rsidRPr="00A93A48" w:rsidRDefault="00901B5F" w:rsidP="00A26F1E">
            <w:pPr>
              <w:pStyle w:val="ListNumber"/>
              <w:numPr>
                <w:ilvl w:val="0"/>
                <w:numId w:val="0"/>
              </w:numPr>
              <w:spacing w:before="0" w:after="0"/>
              <w:jc w:val="center"/>
              <w:rPr>
                <w:sz w:val="22"/>
                <w:szCs w:val="22"/>
                <w:u w:val="none"/>
              </w:rPr>
            </w:pPr>
            <w:r w:rsidRPr="00A93A48">
              <w:rPr>
                <w:sz w:val="22"/>
                <w:szCs w:val="22"/>
                <w:u w:val="none"/>
              </w:rPr>
              <w:t>Annual 2011</w:t>
            </w:r>
          </w:p>
        </w:tc>
        <w:tc>
          <w:tcPr>
            <w:tcW w:w="1170" w:type="dxa"/>
            <w:vMerge w:val="restart"/>
            <w:tcBorders>
              <w:left w:val="double" w:sz="4" w:space="0" w:color="auto"/>
            </w:tcBorders>
            <w:shd w:val="clear" w:color="auto" w:fill="B8CCE4" w:themeFill="accent1" w:themeFillTint="66"/>
            <w:vAlign w:val="center"/>
          </w:tcPr>
          <w:p w:rsidR="00901B5F" w:rsidRPr="00A93A48" w:rsidRDefault="00901B5F" w:rsidP="00901B5F">
            <w:pPr>
              <w:pStyle w:val="ListNumber"/>
              <w:numPr>
                <w:ilvl w:val="0"/>
                <w:numId w:val="0"/>
              </w:numPr>
              <w:spacing w:before="0" w:after="0"/>
              <w:jc w:val="center"/>
              <w:rPr>
                <w:sz w:val="22"/>
                <w:szCs w:val="22"/>
                <w:u w:val="none"/>
              </w:rPr>
            </w:pPr>
            <w:r>
              <w:rPr>
                <w:sz w:val="22"/>
                <w:szCs w:val="22"/>
                <w:u w:val="none"/>
              </w:rPr>
              <w:t>Total by College</w:t>
            </w:r>
          </w:p>
        </w:tc>
      </w:tr>
      <w:tr w:rsidR="00901B5F" w:rsidTr="00901B5F">
        <w:trPr>
          <w:trHeight w:val="368"/>
        </w:trPr>
        <w:tc>
          <w:tcPr>
            <w:tcW w:w="1080" w:type="dxa"/>
            <w:vMerge/>
            <w:tcBorders>
              <w:bottom w:val="single" w:sz="4" w:space="0" w:color="auto"/>
            </w:tcBorders>
            <w:shd w:val="clear" w:color="auto" w:fill="B8CCE4" w:themeFill="accent1" w:themeFillTint="66"/>
          </w:tcPr>
          <w:p w:rsidR="00901B5F" w:rsidRPr="00A93A48" w:rsidRDefault="00901B5F" w:rsidP="004B7E5F">
            <w:pPr>
              <w:pStyle w:val="ListNumber"/>
              <w:numPr>
                <w:ilvl w:val="0"/>
                <w:numId w:val="0"/>
              </w:numPr>
              <w:spacing w:before="0" w:after="0"/>
              <w:rPr>
                <w:sz w:val="22"/>
                <w:szCs w:val="22"/>
                <w:u w:val="none"/>
              </w:rPr>
            </w:pPr>
          </w:p>
        </w:tc>
        <w:tc>
          <w:tcPr>
            <w:tcW w:w="990" w:type="dxa"/>
            <w:tcBorders>
              <w:bottom w:val="single" w:sz="4" w:space="0" w:color="auto"/>
            </w:tcBorders>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r w:rsidRPr="00A93A48">
              <w:rPr>
                <w:sz w:val="20"/>
                <w:szCs w:val="20"/>
                <w:u w:val="none"/>
              </w:rPr>
              <w:t xml:space="preserve">Summer </w:t>
            </w:r>
            <w:r w:rsidRPr="00A93A48">
              <w:rPr>
                <w:sz w:val="22"/>
                <w:szCs w:val="22"/>
                <w:u w:val="none"/>
              </w:rPr>
              <w:t xml:space="preserve"> 2009</w:t>
            </w:r>
          </w:p>
        </w:tc>
        <w:tc>
          <w:tcPr>
            <w:tcW w:w="720" w:type="dxa"/>
            <w:tcBorders>
              <w:bottom w:val="single" w:sz="4" w:space="0" w:color="auto"/>
            </w:tcBorders>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r w:rsidRPr="00A93A48">
              <w:rPr>
                <w:sz w:val="22"/>
                <w:szCs w:val="22"/>
                <w:u w:val="none"/>
              </w:rPr>
              <w:t>Fall 2009</w:t>
            </w:r>
          </w:p>
        </w:tc>
        <w:tc>
          <w:tcPr>
            <w:tcW w:w="990" w:type="dxa"/>
            <w:tcBorders>
              <w:bottom w:val="single" w:sz="4" w:space="0" w:color="auto"/>
              <w:right w:val="double" w:sz="4" w:space="0" w:color="auto"/>
            </w:tcBorders>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r w:rsidRPr="00A93A48">
              <w:rPr>
                <w:sz w:val="22"/>
                <w:szCs w:val="22"/>
                <w:u w:val="none"/>
              </w:rPr>
              <w:t>Spring 2010</w:t>
            </w:r>
          </w:p>
        </w:tc>
        <w:tc>
          <w:tcPr>
            <w:tcW w:w="990" w:type="dxa"/>
            <w:tcBorders>
              <w:left w:val="double" w:sz="4" w:space="0" w:color="auto"/>
              <w:bottom w:val="single" w:sz="4" w:space="0" w:color="auto"/>
            </w:tcBorders>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r w:rsidRPr="00A93A48">
              <w:rPr>
                <w:sz w:val="20"/>
                <w:szCs w:val="20"/>
                <w:u w:val="none"/>
              </w:rPr>
              <w:t>Summer</w:t>
            </w:r>
            <w:r w:rsidRPr="00A93A48">
              <w:rPr>
                <w:sz w:val="22"/>
                <w:szCs w:val="22"/>
                <w:u w:val="none"/>
              </w:rPr>
              <w:t xml:space="preserve"> 2010</w:t>
            </w:r>
          </w:p>
        </w:tc>
        <w:tc>
          <w:tcPr>
            <w:tcW w:w="900" w:type="dxa"/>
            <w:tcBorders>
              <w:bottom w:val="single" w:sz="4" w:space="0" w:color="auto"/>
            </w:tcBorders>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r w:rsidRPr="00A93A48">
              <w:rPr>
                <w:sz w:val="22"/>
                <w:szCs w:val="22"/>
                <w:u w:val="none"/>
              </w:rPr>
              <w:t>Fall 2010</w:t>
            </w:r>
          </w:p>
        </w:tc>
        <w:tc>
          <w:tcPr>
            <w:tcW w:w="1260" w:type="dxa"/>
            <w:tcBorders>
              <w:bottom w:val="single" w:sz="4" w:space="0" w:color="auto"/>
              <w:right w:val="double" w:sz="4" w:space="0" w:color="auto"/>
            </w:tcBorders>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r w:rsidRPr="00A93A48">
              <w:rPr>
                <w:sz w:val="22"/>
                <w:szCs w:val="22"/>
                <w:u w:val="none"/>
              </w:rPr>
              <w:t>Spring 2011</w:t>
            </w:r>
          </w:p>
        </w:tc>
        <w:tc>
          <w:tcPr>
            <w:tcW w:w="1170" w:type="dxa"/>
            <w:vMerge/>
            <w:tcBorders>
              <w:left w:val="double" w:sz="4" w:space="0" w:color="auto"/>
              <w:bottom w:val="single" w:sz="4" w:space="0" w:color="auto"/>
            </w:tcBorders>
            <w:shd w:val="clear" w:color="auto" w:fill="DBE5F1" w:themeFill="accent1" w:themeFillTint="33"/>
          </w:tcPr>
          <w:p w:rsidR="00901B5F" w:rsidRPr="00A93A48" w:rsidRDefault="00901B5F" w:rsidP="00A26F1E">
            <w:pPr>
              <w:pStyle w:val="ListNumber"/>
              <w:numPr>
                <w:ilvl w:val="0"/>
                <w:numId w:val="0"/>
              </w:numPr>
              <w:spacing w:before="0" w:after="0"/>
              <w:jc w:val="center"/>
              <w:rPr>
                <w:sz w:val="22"/>
                <w:szCs w:val="22"/>
                <w:u w:val="none"/>
              </w:rPr>
            </w:pPr>
          </w:p>
        </w:tc>
      </w:tr>
      <w:tr w:rsidR="00901B5F" w:rsidTr="00901B5F">
        <w:tc>
          <w:tcPr>
            <w:tcW w:w="1080" w:type="dxa"/>
            <w:tcBorders>
              <w:bottom w:val="single" w:sz="4" w:space="0" w:color="auto"/>
            </w:tcBorders>
            <w:shd w:val="clear" w:color="auto" w:fill="FDE9D9" w:themeFill="accent6" w:themeFillTint="33"/>
          </w:tcPr>
          <w:p w:rsidR="00901B5F" w:rsidRDefault="00901B5F" w:rsidP="004B7E5F">
            <w:pPr>
              <w:pStyle w:val="ListNumber"/>
              <w:numPr>
                <w:ilvl w:val="0"/>
                <w:numId w:val="0"/>
              </w:numPr>
              <w:spacing w:before="0" w:after="0"/>
              <w:rPr>
                <w:b w:val="0"/>
                <w:sz w:val="22"/>
                <w:szCs w:val="22"/>
                <w:u w:val="none"/>
              </w:rPr>
            </w:pPr>
            <w:r>
              <w:rPr>
                <w:b w:val="0"/>
                <w:sz w:val="22"/>
                <w:szCs w:val="22"/>
                <w:u w:val="none"/>
              </w:rPr>
              <w:t>CHC</w:t>
            </w:r>
          </w:p>
        </w:tc>
        <w:tc>
          <w:tcPr>
            <w:tcW w:w="990" w:type="dxa"/>
            <w:tcBorders>
              <w:bottom w:val="single" w:sz="4" w:space="0" w:color="auto"/>
            </w:tcBorders>
            <w:shd w:val="clear" w:color="auto" w:fill="FDE9D9" w:themeFill="accent6"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7</w:t>
            </w:r>
          </w:p>
        </w:tc>
        <w:tc>
          <w:tcPr>
            <w:tcW w:w="720" w:type="dxa"/>
            <w:tcBorders>
              <w:bottom w:val="single" w:sz="4" w:space="0" w:color="auto"/>
            </w:tcBorders>
            <w:shd w:val="clear" w:color="auto" w:fill="FDE9D9" w:themeFill="accent6"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4</w:t>
            </w:r>
          </w:p>
        </w:tc>
        <w:tc>
          <w:tcPr>
            <w:tcW w:w="990" w:type="dxa"/>
            <w:tcBorders>
              <w:bottom w:val="single" w:sz="4" w:space="0" w:color="auto"/>
              <w:right w:val="double" w:sz="4" w:space="0" w:color="auto"/>
            </w:tcBorders>
            <w:shd w:val="clear" w:color="auto" w:fill="FDE9D9" w:themeFill="accent6"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16</w:t>
            </w:r>
          </w:p>
        </w:tc>
        <w:tc>
          <w:tcPr>
            <w:tcW w:w="990" w:type="dxa"/>
            <w:tcBorders>
              <w:left w:val="double" w:sz="4" w:space="0" w:color="auto"/>
              <w:bottom w:val="single" w:sz="4" w:space="0" w:color="auto"/>
            </w:tcBorders>
            <w:shd w:val="clear" w:color="auto" w:fill="FDE9D9" w:themeFill="accent6"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23</w:t>
            </w:r>
          </w:p>
        </w:tc>
        <w:tc>
          <w:tcPr>
            <w:tcW w:w="900" w:type="dxa"/>
            <w:tcBorders>
              <w:bottom w:val="single" w:sz="4" w:space="0" w:color="auto"/>
            </w:tcBorders>
            <w:shd w:val="clear" w:color="auto" w:fill="FDE9D9" w:themeFill="accent6"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12</w:t>
            </w:r>
          </w:p>
        </w:tc>
        <w:tc>
          <w:tcPr>
            <w:tcW w:w="1260" w:type="dxa"/>
            <w:tcBorders>
              <w:bottom w:val="single" w:sz="4" w:space="0" w:color="auto"/>
            </w:tcBorders>
            <w:shd w:val="clear" w:color="auto" w:fill="FDE9D9" w:themeFill="accent6"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10</w:t>
            </w:r>
          </w:p>
        </w:tc>
        <w:tc>
          <w:tcPr>
            <w:tcW w:w="1170" w:type="dxa"/>
            <w:tcBorders>
              <w:bottom w:val="single" w:sz="4" w:space="0" w:color="auto"/>
            </w:tcBorders>
            <w:shd w:val="clear" w:color="auto" w:fill="FDE9D9" w:themeFill="accent6"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fldChar w:fldCharType="begin"/>
            </w:r>
            <w:r>
              <w:rPr>
                <w:b w:val="0"/>
                <w:sz w:val="22"/>
                <w:szCs w:val="22"/>
                <w:u w:val="none"/>
              </w:rPr>
              <w:instrText xml:space="preserve"> =SUM(LEFT) </w:instrText>
            </w:r>
            <w:r>
              <w:rPr>
                <w:b w:val="0"/>
                <w:sz w:val="22"/>
                <w:szCs w:val="22"/>
                <w:u w:val="none"/>
              </w:rPr>
              <w:fldChar w:fldCharType="separate"/>
            </w:r>
            <w:r>
              <w:rPr>
                <w:b w:val="0"/>
                <w:noProof/>
                <w:sz w:val="22"/>
                <w:szCs w:val="22"/>
                <w:u w:val="none"/>
              </w:rPr>
              <w:t>72</w:t>
            </w:r>
            <w:r>
              <w:rPr>
                <w:b w:val="0"/>
                <w:sz w:val="22"/>
                <w:szCs w:val="22"/>
                <w:u w:val="none"/>
              </w:rPr>
              <w:fldChar w:fldCharType="end"/>
            </w:r>
          </w:p>
        </w:tc>
      </w:tr>
      <w:tr w:rsidR="00901B5F" w:rsidTr="00901B5F">
        <w:tc>
          <w:tcPr>
            <w:tcW w:w="1080" w:type="dxa"/>
            <w:shd w:val="clear" w:color="auto" w:fill="EAF1DD" w:themeFill="accent3" w:themeFillTint="33"/>
          </w:tcPr>
          <w:p w:rsidR="00901B5F" w:rsidRDefault="00901B5F" w:rsidP="004B7E5F">
            <w:pPr>
              <w:pStyle w:val="ListNumber"/>
              <w:numPr>
                <w:ilvl w:val="0"/>
                <w:numId w:val="0"/>
              </w:numPr>
              <w:spacing w:before="0" w:after="0"/>
              <w:rPr>
                <w:b w:val="0"/>
                <w:sz w:val="22"/>
                <w:szCs w:val="22"/>
                <w:u w:val="none"/>
              </w:rPr>
            </w:pPr>
            <w:r>
              <w:rPr>
                <w:b w:val="0"/>
                <w:sz w:val="22"/>
                <w:szCs w:val="22"/>
                <w:u w:val="none"/>
              </w:rPr>
              <w:t>SBVC</w:t>
            </w:r>
          </w:p>
        </w:tc>
        <w:tc>
          <w:tcPr>
            <w:tcW w:w="990" w:type="dxa"/>
            <w:shd w:val="clear" w:color="auto" w:fill="EAF1DD" w:themeFill="accent3"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69</w:t>
            </w:r>
          </w:p>
        </w:tc>
        <w:tc>
          <w:tcPr>
            <w:tcW w:w="720" w:type="dxa"/>
            <w:shd w:val="clear" w:color="auto" w:fill="EAF1DD" w:themeFill="accent3"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36</w:t>
            </w:r>
          </w:p>
        </w:tc>
        <w:tc>
          <w:tcPr>
            <w:tcW w:w="990" w:type="dxa"/>
            <w:tcBorders>
              <w:right w:val="double" w:sz="4" w:space="0" w:color="auto"/>
            </w:tcBorders>
            <w:shd w:val="clear" w:color="auto" w:fill="EAF1DD" w:themeFill="accent3"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59</w:t>
            </w:r>
          </w:p>
        </w:tc>
        <w:tc>
          <w:tcPr>
            <w:tcW w:w="990" w:type="dxa"/>
            <w:tcBorders>
              <w:left w:val="double" w:sz="4" w:space="0" w:color="auto"/>
            </w:tcBorders>
            <w:shd w:val="clear" w:color="auto" w:fill="EAF1DD" w:themeFill="accent3"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64</w:t>
            </w:r>
          </w:p>
        </w:tc>
        <w:tc>
          <w:tcPr>
            <w:tcW w:w="900" w:type="dxa"/>
            <w:shd w:val="clear" w:color="auto" w:fill="EAF1DD" w:themeFill="accent3"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40</w:t>
            </w:r>
          </w:p>
        </w:tc>
        <w:tc>
          <w:tcPr>
            <w:tcW w:w="1260" w:type="dxa"/>
            <w:shd w:val="clear" w:color="auto" w:fill="EAF1DD" w:themeFill="accent3"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t>50</w:t>
            </w:r>
          </w:p>
        </w:tc>
        <w:tc>
          <w:tcPr>
            <w:tcW w:w="1170" w:type="dxa"/>
            <w:shd w:val="clear" w:color="auto" w:fill="EAF1DD" w:themeFill="accent3" w:themeFillTint="33"/>
          </w:tcPr>
          <w:p w:rsidR="00901B5F" w:rsidRDefault="00901B5F" w:rsidP="00205C86">
            <w:pPr>
              <w:pStyle w:val="ListNumber"/>
              <w:numPr>
                <w:ilvl w:val="0"/>
                <w:numId w:val="0"/>
              </w:numPr>
              <w:spacing w:before="0" w:after="0"/>
              <w:jc w:val="right"/>
              <w:rPr>
                <w:b w:val="0"/>
                <w:sz w:val="22"/>
                <w:szCs w:val="22"/>
                <w:u w:val="none"/>
              </w:rPr>
            </w:pPr>
            <w:r>
              <w:rPr>
                <w:b w:val="0"/>
                <w:sz w:val="22"/>
                <w:szCs w:val="22"/>
                <w:u w:val="none"/>
              </w:rPr>
              <w:fldChar w:fldCharType="begin"/>
            </w:r>
            <w:r>
              <w:rPr>
                <w:b w:val="0"/>
                <w:sz w:val="22"/>
                <w:szCs w:val="22"/>
                <w:u w:val="none"/>
              </w:rPr>
              <w:instrText xml:space="preserve"> =SUM(LEFT) </w:instrText>
            </w:r>
            <w:r>
              <w:rPr>
                <w:b w:val="0"/>
                <w:sz w:val="22"/>
                <w:szCs w:val="22"/>
                <w:u w:val="none"/>
              </w:rPr>
              <w:fldChar w:fldCharType="separate"/>
            </w:r>
            <w:r>
              <w:rPr>
                <w:b w:val="0"/>
                <w:noProof/>
                <w:sz w:val="22"/>
                <w:szCs w:val="22"/>
                <w:u w:val="none"/>
              </w:rPr>
              <w:t>318</w:t>
            </w:r>
            <w:r>
              <w:rPr>
                <w:b w:val="0"/>
                <w:sz w:val="22"/>
                <w:szCs w:val="22"/>
                <w:u w:val="none"/>
              </w:rPr>
              <w:fldChar w:fldCharType="end"/>
            </w:r>
          </w:p>
        </w:tc>
      </w:tr>
    </w:tbl>
    <w:p w:rsidR="00B4609E" w:rsidRDefault="002A72BE" w:rsidP="002A72BE">
      <w:pPr>
        <w:pStyle w:val="BodyText"/>
        <w:spacing w:before="240" w:after="0"/>
        <w:ind w:left="246"/>
        <w:rPr>
          <w:sz w:val="22"/>
          <w:szCs w:val="22"/>
        </w:rPr>
      </w:pPr>
      <w:r w:rsidRPr="002A72BE">
        <w:t xml:space="preserve">The </w:t>
      </w:r>
      <w:r w:rsidRPr="002A72BE">
        <w:rPr>
          <w:sz w:val="22"/>
          <w:szCs w:val="22"/>
        </w:rPr>
        <w:t xml:space="preserve">Financial Aid </w:t>
      </w:r>
      <w:r>
        <w:rPr>
          <w:sz w:val="22"/>
          <w:szCs w:val="22"/>
        </w:rPr>
        <w:t>data file for</w:t>
      </w:r>
      <w:r w:rsidRPr="002A72BE">
        <w:rPr>
          <w:sz w:val="22"/>
          <w:szCs w:val="22"/>
        </w:rPr>
        <w:t xml:space="preserve"> </w:t>
      </w:r>
      <w:r>
        <w:rPr>
          <w:sz w:val="22"/>
          <w:szCs w:val="22"/>
        </w:rPr>
        <w:t xml:space="preserve">the current Annual </w:t>
      </w:r>
      <w:r w:rsidRPr="002A72BE">
        <w:rPr>
          <w:sz w:val="22"/>
          <w:szCs w:val="22"/>
        </w:rPr>
        <w:t xml:space="preserve">2012 </w:t>
      </w:r>
      <w:r>
        <w:rPr>
          <w:sz w:val="22"/>
          <w:szCs w:val="22"/>
        </w:rPr>
        <w:t xml:space="preserve">included NO zero dollar BOG awards and </w:t>
      </w:r>
      <w:r w:rsidRPr="002A72BE">
        <w:rPr>
          <w:sz w:val="22"/>
          <w:szCs w:val="22"/>
        </w:rPr>
        <w:t>was</w:t>
      </w:r>
      <w:r>
        <w:rPr>
          <w:b/>
        </w:rPr>
        <w:t xml:space="preserve"> </w:t>
      </w:r>
      <w:r>
        <w:rPr>
          <w:sz w:val="22"/>
          <w:szCs w:val="22"/>
        </w:rPr>
        <w:t>submitted on October 11, 2012</w:t>
      </w:r>
      <w:r>
        <w:rPr>
          <w:sz w:val="22"/>
          <w:szCs w:val="22"/>
        </w:rPr>
        <w:t>.</w:t>
      </w:r>
    </w:p>
    <w:p w:rsidR="002A72BE" w:rsidRDefault="002A72BE" w:rsidP="002A72BE">
      <w:pPr>
        <w:pStyle w:val="BodyText"/>
        <w:spacing w:before="0" w:after="0"/>
        <w:ind w:left="246"/>
        <w:rPr>
          <w:b/>
        </w:rPr>
      </w:pPr>
    </w:p>
    <w:p w:rsidR="00B4609E" w:rsidRPr="00B4609E" w:rsidRDefault="00B4609E" w:rsidP="00B4609E">
      <w:pPr>
        <w:pStyle w:val="BodyText"/>
        <w:spacing w:before="0" w:after="0"/>
        <w:ind w:hanging="270"/>
        <w:rPr>
          <w:b/>
        </w:rPr>
      </w:pPr>
      <w:r w:rsidRPr="00B4609E">
        <w:rPr>
          <w:b/>
        </w:rPr>
        <w:t>II.    MINF/XMINF</w:t>
      </w:r>
    </w:p>
    <w:p w:rsidR="00B4609E" w:rsidRDefault="00B4609E" w:rsidP="00B4609E">
      <w:pPr>
        <w:ind w:left="216"/>
        <w:rPr>
          <w:sz w:val="22"/>
          <w:szCs w:val="22"/>
        </w:rPr>
      </w:pPr>
      <w:r>
        <w:rPr>
          <w:sz w:val="22"/>
          <w:szCs w:val="22"/>
        </w:rPr>
        <w:t>Discussed the request to capture and maintain MIS military/veteran data on XMINF, not MINF.  It was decided to table further discussion pending input from Joe Cabrales and his staff prior to making a recommendation on whether to proceed or deny the request.</w:t>
      </w:r>
    </w:p>
    <w:p w:rsidR="00B4609E" w:rsidRDefault="00B4609E" w:rsidP="00B4609E">
      <w:pPr>
        <w:ind w:left="0"/>
        <w:rPr>
          <w:sz w:val="22"/>
          <w:szCs w:val="22"/>
        </w:rPr>
      </w:pPr>
    </w:p>
    <w:p w:rsidR="00B4609E" w:rsidRPr="00B4609E" w:rsidRDefault="00B4609E" w:rsidP="00B4609E">
      <w:pPr>
        <w:pStyle w:val="BodyText"/>
        <w:spacing w:before="0" w:after="0"/>
        <w:ind w:hanging="360"/>
        <w:rPr>
          <w:b/>
        </w:rPr>
      </w:pPr>
      <w:r>
        <w:rPr>
          <w:b/>
        </w:rPr>
        <w:t>I</w:t>
      </w:r>
      <w:r w:rsidRPr="00B4609E">
        <w:rPr>
          <w:b/>
        </w:rPr>
        <w:t xml:space="preserve">II.    </w:t>
      </w:r>
      <w:r>
        <w:rPr>
          <w:b/>
        </w:rPr>
        <w:t>MIS – Employee Fall Collection – Fall 2012</w:t>
      </w:r>
    </w:p>
    <w:p w:rsidR="00B4609E" w:rsidRDefault="00B4609E" w:rsidP="00B4609E">
      <w:pPr>
        <w:ind w:left="180"/>
        <w:rPr>
          <w:sz w:val="22"/>
          <w:szCs w:val="22"/>
        </w:rPr>
      </w:pPr>
      <w:r>
        <w:rPr>
          <w:sz w:val="22"/>
          <w:szCs w:val="22"/>
        </w:rPr>
        <w:t xml:space="preserve">Discussed the </w:t>
      </w:r>
      <w:r w:rsidR="00AF5787">
        <w:rPr>
          <w:sz w:val="22"/>
          <w:szCs w:val="22"/>
        </w:rPr>
        <w:t xml:space="preserve">issue of staff data file processing, and it was agreed that Cory Brady would </w:t>
      </w:r>
      <w:r w:rsidR="0043713A">
        <w:rPr>
          <w:sz w:val="22"/>
          <w:szCs w:val="22"/>
        </w:rPr>
        <w:t>further discuss with management.</w:t>
      </w:r>
    </w:p>
    <w:p w:rsidR="00B4609E" w:rsidRDefault="00B4609E" w:rsidP="00B4609E">
      <w:pPr>
        <w:ind w:left="0"/>
        <w:rPr>
          <w:sz w:val="22"/>
          <w:szCs w:val="22"/>
        </w:rPr>
      </w:pPr>
    </w:p>
    <w:p w:rsidR="00022F84" w:rsidRPr="00022F84" w:rsidRDefault="002205F9" w:rsidP="007434F0">
      <w:pPr>
        <w:pStyle w:val="ListNumber"/>
        <w:spacing w:before="0" w:after="0"/>
        <w:rPr>
          <w:u w:val="none"/>
        </w:rPr>
      </w:pPr>
      <w:r>
        <w:rPr>
          <w:u w:val="none"/>
        </w:rPr>
        <w:t>IPEDS Reporting</w:t>
      </w:r>
    </w:p>
    <w:p w:rsidR="002205F9" w:rsidRDefault="002205F9" w:rsidP="00022F84">
      <w:pPr>
        <w:pStyle w:val="ListNumber"/>
        <w:numPr>
          <w:ilvl w:val="0"/>
          <w:numId w:val="0"/>
        </w:numPr>
        <w:spacing w:before="0" w:after="0"/>
        <w:ind w:left="180"/>
        <w:rPr>
          <w:b w:val="0"/>
          <w:sz w:val="22"/>
          <w:szCs w:val="22"/>
          <w:u w:val="none"/>
        </w:rPr>
      </w:pPr>
      <w:r>
        <w:rPr>
          <w:b w:val="0"/>
          <w:sz w:val="22"/>
          <w:szCs w:val="22"/>
          <w:u w:val="none"/>
        </w:rPr>
        <w:t>The IPEDS survey process discussion was led by Keith Wurtz</w:t>
      </w:r>
      <w:r w:rsidR="0043713A">
        <w:rPr>
          <w:b w:val="0"/>
          <w:sz w:val="22"/>
          <w:szCs w:val="22"/>
          <w:u w:val="none"/>
        </w:rPr>
        <w:t xml:space="preserve">, who indicated that he is working on the matching the reporting elements to the Colleague data fields.  Upon completion, he will present the first of the series on Institutional characteristics and 12-Month Enrollment, at which time the MIS Committee will discuss how the District can ensure the accuracy and </w:t>
      </w:r>
      <w:r w:rsidR="00445093">
        <w:rPr>
          <w:b w:val="0"/>
          <w:sz w:val="22"/>
          <w:szCs w:val="22"/>
          <w:u w:val="none"/>
        </w:rPr>
        <w:t xml:space="preserve">integrity </w:t>
      </w:r>
      <w:r w:rsidR="0043713A">
        <w:rPr>
          <w:b w:val="0"/>
          <w:sz w:val="22"/>
          <w:szCs w:val="22"/>
          <w:u w:val="none"/>
        </w:rPr>
        <w:t xml:space="preserve">of the data that we are reporting </w:t>
      </w:r>
      <w:r w:rsidR="00445093">
        <w:rPr>
          <w:b w:val="0"/>
          <w:sz w:val="22"/>
          <w:szCs w:val="22"/>
          <w:u w:val="none"/>
        </w:rPr>
        <w:t>to</w:t>
      </w:r>
      <w:r w:rsidR="0043713A">
        <w:rPr>
          <w:b w:val="0"/>
          <w:sz w:val="22"/>
          <w:szCs w:val="22"/>
          <w:u w:val="none"/>
        </w:rPr>
        <w:t xml:space="preserve"> IPEDS</w:t>
      </w:r>
      <w:r>
        <w:rPr>
          <w:b w:val="0"/>
          <w:sz w:val="22"/>
          <w:szCs w:val="22"/>
          <w:u w:val="none"/>
        </w:rPr>
        <w:t>:</w:t>
      </w:r>
    </w:p>
    <w:p w:rsidR="002205F9" w:rsidRDefault="002205F9" w:rsidP="002205F9">
      <w:pPr>
        <w:pStyle w:val="ListNumber"/>
        <w:numPr>
          <w:ilvl w:val="0"/>
          <w:numId w:val="29"/>
        </w:numPr>
        <w:spacing w:before="0" w:after="0"/>
        <w:rPr>
          <w:b w:val="0"/>
          <w:sz w:val="22"/>
          <w:szCs w:val="22"/>
          <w:u w:val="none"/>
        </w:rPr>
      </w:pPr>
      <w:r>
        <w:rPr>
          <w:b w:val="0"/>
          <w:sz w:val="22"/>
          <w:szCs w:val="22"/>
          <w:u w:val="none"/>
        </w:rPr>
        <w:t>IPEDS Reporting on Institutional Characteristics and 12-Month Enrollment</w:t>
      </w:r>
    </w:p>
    <w:p w:rsidR="002205F9" w:rsidRDefault="002205F9" w:rsidP="002205F9">
      <w:pPr>
        <w:pStyle w:val="ListNumber"/>
        <w:numPr>
          <w:ilvl w:val="0"/>
          <w:numId w:val="29"/>
        </w:numPr>
        <w:spacing w:before="0" w:after="0"/>
        <w:rPr>
          <w:b w:val="0"/>
          <w:sz w:val="22"/>
          <w:szCs w:val="22"/>
          <w:u w:val="none"/>
        </w:rPr>
      </w:pPr>
      <w:r>
        <w:rPr>
          <w:b w:val="0"/>
          <w:sz w:val="22"/>
          <w:szCs w:val="22"/>
          <w:u w:val="none"/>
        </w:rPr>
        <w:t>IPEDS Reporting on Fall Enrollment</w:t>
      </w:r>
    </w:p>
    <w:p w:rsidR="009F15CD" w:rsidRPr="003A0EC0" w:rsidRDefault="009F15CD" w:rsidP="009F15CD">
      <w:pPr>
        <w:pStyle w:val="ListNumber"/>
        <w:numPr>
          <w:ilvl w:val="0"/>
          <w:numId w:val="29"/>
        </w:numPr>
        <w:spacing w:before="0" w:after="0"/>
        <w:rPr>
          <w:b w:val="0"/>
          <w:sz w:val="22"/>
          <w:szCs w:val="22"/>
          <w:u w:val="none"/>
        </w:rPr>
      </w:pPr>
      <w:r>
        <w:rPr>
          <w:b w:val="0"/>
          <w:sz w:val="22"/>
          <w:szCs w:val="22"/>
          <w:u w:val="none"/>
        </w:rPr>
        <w:t xml:space="preserve">IPEDS Reporting on Human Resources and Finance  </w:t>
      </w:r>
    </w:p>
    <w:p w:rsidR="002205F9" w:rsidRDefault="002205F9" w:rsidP="002205F9">
      <w:pPr>
        <w:pStyle w:val="ListNumber"/>
        <w:numPr>
          <w:ilvl w:val="0"/>
          <w:numId w:val="29"/>
        </w:numPr>
        <w:spacing w:before="0" w:after="0"/>
        <w:rPr>
          <w:b w:val="0"/>
          <w:sz w:val="22"/>
          <w:szCs w:val="22"/>
          <w:u w:val="none"/>
        </w:rPr>
      </w:pPr>
      <w:r>
        <w:rPr>
          <w:b w:val="0"/>
          <w:sz w:val="22"/>
          <w:szCs w:val="22"/>
          <w:u w:val="none"/>
        </w:rPr>
        <w:t>IPEDS Reporting on Graduation Rates and 200% Graduation Rates</w:t>
      </w:r>
    </w:p>
    <w:p w:rsidR="009F15CD" w:rsidRDefault="009F15CD" w:rsidP="009F15CD">
      <w:pPr>
        <w:pStyle w:val="ListNumber"/>
        <w:numPr>
          <w:ilvl w:val="0"/>
          <w:numId w:val="29"/>
        </w:numPr>
        <w:spacing w:before="0" w:after="0"/>
        <w:rPr>
          <w:b w:val="0"/>
          <w:sz w:val="22"/>
          <w:szCs w:val="22"/>
          <w:u w:val="none"/>
        </w:rPr>
      </w:pPr>
      <w:r>
        <w:rPr>
          <w:b w:val="0"/>
          <w:sz w:val="22"/>
          <w:szCs w:val="22"/>
          <w:u w:val="none"/>
        </w:rPr>
        <w:t>IPEDS Reporting on Student Financial Aid</w:t>
      </w:r>
    </w:p>
    <w:p w:rsidR="00592220" w:rsidRDefault="00592220" w:rsidP="00022F84">
      <w:pPr>
        <w:pStyle w:val="ListNumber"/>
        <w:numPr>
          <w:ilvl w:val="0"/>
          <w:numId w:val="0"/>
        </w:numPr>
        <w:spacing w:before="0" w:after="0"/>
        <w:ind w:left="180"/>
        <w:rPr>
          <w:b w:val="0"/>
          <w:sz w:val="22"/>
          <w:szCs w:val="22"/>
          <w:u w:val="none"/>
        </w:rPr>
      </w:pPr>
    </w:p>
    <w:p w:rsidR="00445093" w:rsidRDefault="00445093" w:rsidP="00022F84">
      <w:pPr>
        <w:pStyle w:val="ListNumber"/>
        <w:numPr>
          <w:ilvl w:val="0"/>
          <w:numId w:val="0"/>
        </w:numPr>
        <w:spacing w:before="0" w:after="0"/>
        <w:ind w:left="180"/>
        <w:rPr>
          <w:b w:val="0"/>
          <w:sz w:val="22"/>
          <w:szCs w:val="22"/>
          <w:u w:val="none"/>
        </w:rPr>
      </w:pPr>
    </w:p>
    <w:p w:rsidR="00445093" w:rsidRDefault="00445093" w:rsidP="00022F84">
      <w:pPr>
        <w:pStyle w:val="ListNumber"/>
        <w:numPr>
          <w:ilvl w:val="0"/>
          <w:numId w:val="0"/>
        </w:numPr>
        <w:spacing w:before="0" w:after="0"/>
        <w:ind w:left="180"/>
        <w:rPr>
          <w:b w:val="0"/>
          <w:sz w:val="22"/>
          <w:szCs w:val="22"/>
          <w:u w:val="none"/>
        </w:rPr>
      </w:pPr>
    </w:p>
    <w:p w:rsidR="00901B5F" w:rsidRDefault="00901B5F" w:rsidP="00022F84">
      <w:pPr>
        <w:pStyle w:val="ListNumber"/>
        <w:numPr>
          <w:ilvl w:val="0"/>
          <w:numId w:val="0"/>
        </w:numPr>
        <w:spacing w:before="0" w:after="0"/>
        <w:ind w:left="180"/>
        <w:rPr>
          <w:b w:val="0"/>
          <w:sz w:val="22"/>
          <w:szCs w:val="22"/>
          <w:u w:val="none"/>
        </w:rPr>
      </w:pPr>
    </w:p>
    <w:p w:rsidR="00445093" w:rsidRDefault="00445093" w:rsidP="00022F84">
      <w:pPr>
        <w:pStyle w:val="ListNumber"/>
        <w:numPr>
          <w:ilvl w:val="0"/>
          <w:numId w:val="0"/>
        </w:numPr>
        <w:spacing w:before="0" w:after="0"/>
        <w:ind w:left="180"/>
        <w:rPr>
          <w:b w:val="0"/>
          <w:sz w:val="22"/>
          <w:szCs w:val="22"/>
          <w:u w:val="none"/>
        </w:rPr>
      </w:pPr>
    </w:p>
    <w:p w:rsidR="004B7E5F" w:rsidRPr="00AA39A5" w:rsidRDefault="00445093" w:rsidP="004B7E5F">
      <w:pPr>
        <w:pStyle w:val="ListNumber"/>
        <w:rPr>
          <w:u w:val="none"/>
        </w:rPr>
      </w:pPr>
      <w:r>
        <w:rPr>
          <w:u w:val="none"/>
        </w:rPr>
        <w:t>Miscellaneous</w:t>
      </w:r>
    </w:p>
    <w:p w:rsidR="002205F9" w:rsidRDefault="002A72BE" w:rsidP="009F15CD">
      <w:pPr>
        <w:pStyle w:val="ListNumber"/>
        <w:numPr>
          <w:ilvl w:val="0"/>
          <w:numId w:val="0"/>
        </w:numPr>
        <w:spacing w:before="0" w:after="0"/>
        <w:ind w:left="180"/>
        <w:rPr>
          <w:b w:val="0"/>
          <w:sz w:val="22"/>
          <w:szCs w:val="22"/>
          <w:u w:val="none"/>
        </w:rPr>
      </w:pPr>
      <w:r>
        <w:rPr>
          <w:rFonts w:ascii="Algerian" w:hAnsi="Algerian"/>
          <w:sz w:val="22"/>
          <w:szCs w:val="22"/>
          <w:u w:val="none"/>
        </w:rPr>
        <w:t>•</w:t>
      </w:r>
      <w:r w:rsidRPr="002A72BE">
        <w:rPr>
          <w:sz w:val="22"/>
          <w:szCs w:val="22"/>
          <w:u w:val="none"/>
        </w:rPr>
        <w:t>HR Module</w:t>
      </w:r>
      <w:r>
        <w:rPr>
          <w:b w:val="0"/>
          <w:sz w:val="22"/>
          <w:szCs w:val="22"/>
          <w:u w:val="none"/>
        </w:rPr>
        <w:t xml:space="preserve"> - </w:t>
      </w:r>
      <w:r w:rsidR="00445093">
        <w:rPr>
          <w:b w:val="0"/>
          <w:sz w:val="22"/>
          <w:szCs w:val="22"/>
          <w:u w:val="none"/>
        </w:rPr>
        <w:t xml:space="preserve">Discussed the benefits of the purchase and implementation of </w:t>
      </w:r>
      <w:proofErr w:type="spellStart"/>
      <w:r w:rsidR="00445093">
        <w:rPr>
          <w:b w:val="0"/>
          <w:sz w:val="22"/>
          <w:szCs w:val="22"/>
          <w:u w:val="none"/>
        </w:rPr>
        <w:t>Ellucian’s</w:t>
      </w:r>
      <w:proofErr w:type="spellEnd"/>
      <w:r w:rsidR="00445093">
        <w:rPr>
          <w:b w:val="0"/>
          <w:sz w:val="22"/>
          <w:szCs w:val="22"/>
          <w:u w:val="none"/>
        </w:rPr>
        <w:t xml:space="preserve"> HR Module to improve the efficiency of </w:t>
      </w:r>
      <w:r w:rsidR="003D77A3">
        <w:rPr>
          <w:b w:val="0"/>
          <w:sz w:val="22"/>
          <w:szCs w:val="22"/>
          <w:u w:val="none"/>
        </w:rPr>
        <w:t>MIS Employee Fall Collection data</w:t>
      </w:r>
      <w:r w:rsidR="00445093">
        <w:rPr>
          <w:b w:val="0"/>
          <w:sz w:val="22"/>
          <w:szCs w:val="22"/>
          <w:u w:val="none"/>
        </w:rPr>
        <w:t>, as well as</w:t>
      </w:r>
      <w:r>
        <w:rPr>
          <w:b w:val="0"/>
          <w:sz w:val="22"/>
          <w:szCs w:val="22"/>
          <w:u w:val="none"/>
        </w:rPr>
        <w:t xml:space="preserve"> </w:t>
      </w:r>
      <w:r>
        <w:rPr>
          <w:b w:val="0"/>
          <w:sz w:val="22"/>
          <w:szCs w:val="22"/>
          <w:u w:val="none"/>
        </w:rPr>
        <w:t>MIS reporting of term-based employee (EB) and assignment (EJ) data files</w:t>
      </w:r>
      <w:r w:rsidR="00445093">
        <w:rPr>
          <w:b w:val="0"/>
          <w:sz w:val="22"/>
          <w:szCs w:val="22"/>
          <w:u w:val="none"/>
        </w:rPr>
        <w:t>.</w:t>
      </w:r>
    </w:p>
    <w:p w:rsidR="002A72BE" w:rsidRDefault="002A72BE" w:rsidP="009F15CD">
      <w:pPr>
        <w:pStyle w:val="ListNumber"/>
        <w:numPr>
          <w:ilvl w:val="0"/>
          <w:numId w:val="0"/>
        </w:numPr>
        <w:spacing w:before="0" w:after="0"/>
        <w:ind w:left="180"/>
        <w:rPr>
          <w:b w:val="0"/>
          <w:sz w:val="22"/>
          <w:szCs w:val="22"/>
          <w:u w:val="none"/>
        </w:rPr>
      </w:pPr>
    </w:p>
    <w:p w:rsidR="002A72BE" w:rsidRDefault="002A72BE" w:rsidP="009F15CD">
      <w:pPr>
        <w:pStyle w:val="ListNumber"/>
        <w:numPr>
          <w:ilvl w:val="0"/>
          <w:numId w:val="0"/>
        </w:numPr>
        <w:spacing w:before="0" w:after="0"/>
        <w:ind w:left="180"/>
        <w:rPr>
          <w:b w:val="0"/>
          <w:sz w:val="22"/>
          <w:szCs w:val="22"/>
          <w:u w:val="none"/>
        </w:rPr>
      </w:pPr>
      <w:r>
        <w:rPr>
          <w:b w:val="0"/>
          <w:sz w:val="22"/>
          <w:szCs w:val="22"/>
          <w:u w:val="none"/>
        </w:rPr>
        <w:t>Keith Wurtz and Cory Brady stated that they will present this idea to the TESS Executive Committee for consideration.</w:t>
      </w:r>
    </w:p>
    <w:p w:rsidR="004B7E5F" w:rsidRDefault="004B7E5F" w:rsidP="004B7E5F">
      <w:pPr>
        <w:pStyle w:val="ListNumber"/>
        <w:numPr>
          <w:ilvl w:val="0"/>
          <w:numId w:val="0"/>
        </w:numPr>
        <w:spacing w:before="0" w:after="0"/>
        <w:ind w:left="187"/>
        <w:rPr>
          <w:b w:val="0"/>
          <w:sz w:val="22"/>
          <w:szCs w:val="22"/>
          <w:u w:val="none"/>
        </w:rPr>
      </w:pPr>
    </w:p>
    <w:p w:rsidR="002A72BE" w:rsidRDefault="002A72BE" w:rsidP="004B7E5F">
      <w:pPr>
        <w:pStyle w:val="ListNumber"/>
        <w:numPr>
          <w:ilvl w:val="0"/>
          <w:numId w:val="0"/>
        </w:numPr>
        <w:spacing w:before="0" w:after="0"/>
        <w:ind w:left="187"/>
        <w:rPr>
          <w:b w:val="0"/>
          <w:sz w:val="22"/>
          <w:szCs w:val="22"/>
          <w:u w:val="none"/>
        </w:rPr>
      </w:pPr>
      <w:r>
        <w:rPr>
          <w:rFonts w:ascii="Algerian" w:hAnsi="Algerian"/>
          <w:sz w:val="22"/>
          <w:szCs w:val="22"/>
          <w:u w:val="none"/>
        </w:rPr>
        <w:t>•</w:t>
      </w:r>
      <w:r w:rsidRPr="002A72BE">
        <w:rPr>
          <w:sz w:val="22"/>
          <w:szCs w:val="22"/>
          <w:u w:val="none"/>
        </w:rPr>
        <w:t>SB70</w:t>
      </w:r>
      <w:r>
        <w:rPr>
          <w:b w:val="0"/>
          <w:sz w:val="22"/>
          <w:szCs w:val="22"/>
          <w:u w:val="none"/>
        </w:rPr>
        <w:t xml:space="preserve"> – Discussed the status of the SB70 reporting requirements.  </w:t>
      </w:r>
      <w:r w:rsidR="00595943">
        <w:rPr>
          <w:b w:val="0"/>
          <w:sz w:val="22"/>
          <w:szCs w:val="22"/>
          <w:u w:val="none"/>
        </w:rPr>
        <w:t>Advised committee members that the submission date has been extended to March 31</w:t>
      </w:r>
      <w:r w:rsidR="00595943" w:rsidRPr="00595943">
        <w:rPr>
          <w:b w:val="0"/>
          <w:sz w:val="22"/>
          <w:szCs w:val="22"/>
          <w:u w:val="none"/>
          <w:vertAlign w:val="superscript"/>
        </w:rPr>
        <w:t>st</w:t>
      </w:r>
      <w:r w:rsidR="00595943">
        <w:rPr>
          <w:b w:val="0"/>
          <w:sz w:val="22"/>
          <w:szCs w:val="22"/>
          <w:u w:val="none"/>
        </w:rPr>
        <w:t>, 2013, and that the State Chancellor’s Office will be providing the file for Colleges, as indicated in their 10-31-12 memo (attached).</w:t>
      </w:r>
    </w:p>
    <w:p w:rsidR="00436E35" w:rsidRDefault="003D77A3" w:rsidP="00022F84">
      <w:pPr>
        <w:pStyle w:val="ListNumber"/>
        <w:numPr>
          <w:ilvl w:val="0"/>
          <w:numId w:val="0"/>
        </w:numPr>
        <w:spacing w:before="0" w:after="0"/>
        <w:ind w:left="180"/>
        <w:rPr>
          <w:b w:val="0"/>
          <w:sz w:val="22"/>
          <w:szCs w:val="22"/>
          <w:u w:val="none"/>
        </w:rPr>
      </w:pPr>
      <w:r>
        <w:rPr>
          <w:b w:val="0"/>
          <w:sz w:val="22"/>
          <w:szCs w:val="22"/>
          <w:u w:val="none"/>
        </w:rPr>
        <w:t xml:space="preserve"> </w:t>
      </w:r>
    </w:p>
    <w:p w:rsidR="009F15CD" w:rsidRDefault="009F15CD" w:rsidP="004A4D8C">
      <w:pPr>
        <w:pStyle w:val="ListNumber"/>
        <w:numPr>
          <w:ilvl w:val="0"/>
          <w:numId w:val="0"/>
        </w:numPr>
        <w:spacing w:before="0" w:after="0"/>
        <w:ind w:left="180" w:right="-360"/>
        <w:rPr>
          <w:b w:val="0"/>
          <w:sz w:val="22"/>
          <w:szCs w:val="22"/>
          <w:u w:val="none"/>
        </w:rPr>
      </w:pPr>
    </w:p>
    <w:p w:rsidR="002A72BE" w:rsidRDefault="002A72BE" w:rsidP="004A4D8C">
      <w:pPr>
        <w:pStyle w:val="ListNumber"/>
        <w:numPr>
          <w:ilvl w:val="0"/>
          <w:numId w:val="0"/>
        </w:numPr>
        <w:spacing w:before="0" w:after="0"/>
        <w:ind w:left="180" w:right="-360"/>
        <w:rPr>
          <w:b w:val="0"/>
          <w:sz w:val="22"/>
          <w:szCs w:val="22"/>
          <w:u w:val="none"/>
        </w:rPr>
      </w:pPr>
    </w:p>
    <w:p w:rsidR="002A72BE" w:rsidRDefault="002A72BE" w:rsidP="004A4D8C">
      <w:pPr>
        <w:pStyle w:val="ListNumber"/>
        <w:numPr>
          <w:ilvl w:val="0"/>
          <w:numId w:val="0"/>
        </w:numPr>
        <w:spacing w:before="0" w:after="0"/>
        <w:ind w:left="180" w:right="-360"/>
        <w:rPr>
          <w:b w:val="0"/>
          <w:sz w:val="22"/>
          <w:szCs w:val="22"/>
          <w:u w:val="none"/>
        </w:rPr>
      </w:pPr>
    </w:p>
    <w:p w:rsidR="00436E35" w:rsidRDefault="00716DC8" w:rsidP="004A4D8C">
      <w:pPr>
        <w:pStyle w:val="ListNumber"/>
        <w:numPr>
          <w:ilvl w:val="0"/>
          <w:numId w:val="0"/>
        </w:numPr>
        <w:spacing w:before="0" w:after="0"/>
        <w:ind w:left="180" w:right="-360"/>
        <w:rPr>
          <w:b w:val="0"/>
          <w:sz w:val="22"/>
          <w:szCs w:val="22"/>
          <w:u w:val="none"/>
        </w:rPr>
      </w:pPr>
      <w:r>
        <w:rPr>
          <w:b w:val="0"/>
          <w:sz w:val="22"/>
          <w:szCs w:val="22"/>
          <w:u w:val="none"/>
        </w:rPr>
        <w:t xml:space="preserve">The meeting </w:t>
      </w:r>
      <w:r w:rsidR="002A72BE">
        <w:rPr>
          <w:b w:val="0"/>
          <w:sz w:val="22"/>
          <w:szCs w:val="22"/>
          <w:u w:val="none"/>
        </w:rPr>
        <w:t>ended</w:t>
      </w:r>
      <w:r>
        <w:rPr>
          <w:b w:val="0"/>
          <w:sz w:val="22"/>
          <w:szCs w:val="22"/>
          <w:u w:val="none"/>
        </w:rPr>
        <w:t xml:space="preserve"> at 9:</w:t>
      </w:r>
      <w:r w:rsidR="002A72BE">
        <w:rPr>
          <w:b w:val="0"/>
          <w:sz w:val="22"/>
          <w:szCs w:val="22"/>
          <w:u w:val="none"/>
        </w:rPr>
        <w:t>16</w:t>
      </w:r>
      <w:r>
        <w:rPr>
          <w:b w:val="0"/>
          <w:sz w:val="22"/>
          <w:szCs w:val="22"/>
          <w:u w:val="none"/>
        </w:rPr>
        <w:t>am.</w:t>
      </w:r>
    </w:p>
    <w:sectPr w:rsidR="00436E35" w:rsidSect="009F1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AB" w:rsidRDefault="00A253AB" w:rsidP="000C4126">
      <w:r>
        <w:separator/>
      </w:r>
    </w:p>
  </w:endnote>
  <w:endnote w:type="continuationSeparator" w:id="0">
    <w:p w:rsidR="00A253AB" w:rsidRDefault="00A253AB"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976718">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976718">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AB" w:rsidRDefault="00A253AB" w:rsidP="000C4126">
      <w:r>
        <w:separator/>
      </w:r>
    </w:p>
  </w:footnote>
  <w:footnote w:type="continuationSeparator" w:id="0">
    <w:p w:rsidR="00A253AB" w:rsidRDefault="00A253AB"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8"/>
  </w:num>
  <w:num w:numId="3">
    <w:abstractNumId w:val="20"/>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5"/>
  </w:num>
  <w:num w:numId="27">
    <w:abstractNumId w:val="19"/>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72BCC"/>
    <w:rsid w:val="00084639"/>
    <w:rsid w:val="000B78BF"/>
    <w:rsid w:val="000C4126"/>
    <w:rsid w:val="000E1237"/>
    <w:rsid w:val="00100033"/>
    <w:rsid w:val="00102400"/>
    <w:rsid w:val="00104FDE"/>
    <w:rsid w:val="0011573E"/>
    <w:rsid w:val="0012381A"/>
    <w:rsid w:val="00125A13"/>
    <w:rsid w:val="00131D5B"/>
    <w:rsid w:val="00140DAE"/>
    <w:rsid w:val="00143DB3"/>
    <w:rsid w:val="0015180F"/>
    <w:rsid w:val="00193653"/>
    <w:rsid w:val="001D15B4"/>
    <w:rsid w:val="001F1945"/>
    <w:rsid w:val="001F1E7E"/>
    <w:rsid w:val="00203E02"/>
    <w:rsid w:val="00205C86"/>
    <w:rsid w:val="002205F9"/>
    <w:rsid w:val="00276FA1"/>
    <w:rsid w:val="00291B4A"/>
    <w:rsid w:val="002A72BE"/>
    <w:rsid w:val="002D3CEC"/>
    <w:rsid w:val="002D5748"/>
    <w:rsid w:val="002E63F1"/>
    <w:rsid w:val="003172E8"/>
    <w:rsid w:val="00325344"/>
    <w:rsid w:val="00326CDF"/>
    <w:rsid w:val="003466ED"/>
    <w:rsid w:val="00352691"/>
    <w:rsid w:val="00357EAB"/>
    <w:rsid w:val="00360B6E"/>
    <w:rsid w:val="003A0EC0"/>
    <w:rsid w:val="003A5DC5"/>
    <w:rsid w:val="003C31EF"/>
    <w:rsid w:val="003C4AFF"/>
    <w:rsid w:val="003D77A3"/>
    <w:rsid w:val="003F3DFD"/>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E227E"/>
    <w:rsid w:val="004F5DA8"/>
    <w:rsid w:val="00533ADC"/>
    <w:rsid w:val="00554276"/>
    <w:rsid w:val="00592220"/>
    <w:rsid w:val="00595943"/>
    <w:rsid w:val="005C3413"/>
    <w:rsid w:val="006057CA"/>
    <w:rsid w:val="00616B41"/>
    <w:rsid w:val="00620AE8"/>
    <w:rsid w:val="00643A5E"/>
    <w:rsid w:val="0064628C"/>
    <w:rsid w:val="0066789A"/>
    <w:rsid w:val="00680296"/>
    <w:rsid w:val="00687389"/>
    <w:rsid w:val="00687828"/>
    <w:rsid w:val="006928C1"/>
    <w:rsid w:val="006E7615"/>
    <w:rsid w:val="006F03D4"/>
    <w:rsid w:val="00716D3E"/>
    <w:rsid w:val="00716DC8"/>
    <w:rsid w:val="0072125D"/>
    <w:rsid w:val="007434F0"/>
    <w:rsid w:val="0075207F"/>
    <w:rsid w:val="00771C24"/>
    <w:rsid w:val="007B651A"/>
    <w:rsid w:val="007C31C1"/>
    <w:rsid w:val="007D2DDA"/>
    <w:rsid w:val="007D5836"/>
    <w:rsid w:val="008240DA"/>
    <w:rsid w:val="00831C85"/>
    <w:rsid w:val="008429E5"/>
    <w:rsid w:val="008445F7"/>
    <w:rsid w:val="008559B5"/>
    <w:rsid w:val="00862725"/>
    <w:rsid w:val="00867EA4"/>
    <w:rsid w:val="00897D88"/>
    <w:rsid w:val="008E476B"/>
    <w:rsid w:val="008E750D"/>
    <w:rsid w:val="008F013B"/>
    <w:rsid w:val="008F4D3A"/>
    <w:rsid w:val="00901B5F"/>
    <w:rsid w:val="00932F50"/>
    <w:rsid w:val="0093584A"/>
    <w:rsid w:val="00950C86"/>
    <w:rsid w:val="00971B8F"/>
    <w:rsid w:val="00976718"/>
    <w:rsid w:val="009921B8"/>
    <w:rsid w:val="009C0428"/>
    <w:rsid w:val="009C4E41"/>
    <w:rsid w:val="009E1564"/>
    <w:rsid w:val="009F15CD"/>
    <w:rsid w:val="00A07662"/>
    <w:rsid w:val="00A12F2A"/>
    <w:rsid w:val="00A22F9C"/>
    <w:rsid w:val="00A253AB"/>
    <w:rsid w:val="00A26F1E"/>
    <w:rsid w:val="00A37FC8"/>
    <w:rsid w:val="00A4181B"/>
    <w:rsid w:val="00A9231C"/>
    <w:rsid w:val="00A93A48"/>
    <w:rsid w:val="00AA39A5"/>
    <w:rsid w:val="00AA6E8F"/>
    <w:rsid w:val="00AC14C0"/>
    <w:rsid w:val="00AC2E90"/>
    <w:rsid w:val="00AE361F"/>
    <w:rsid w:val="00AF2CBC"/>
    <w:rsid w:val="00AF5787"/>
    <w:rsid w:val="00B063B4"/>
    <w:rsid w:val="00B435B5"/>
    <w:rsid w:val="00B4609E"/>
    <w:rsid w:val="00B75CFC"/>
    <w:rsid w:val="00BD01E0"/>
    <w:rsid w:val="00BF7085"/>
    <w:rsid w:val="00C02AD2"/>
    <w:rsid w:val="00C11A96"/>
    <w:rsid w:val="00C1643D"/>
    <w:rsid w:val="00C261A9"/>
    <w:rsid w:val="00C34A23"/>
    <w:rsid w:val="00C51F70"/>
    <w:rsid w:val="00C678A0"/>
    <w:rsid w:val="00C94CEE"/>
    <w:rsid w:val="00D31AB7"/>
    <w:rsid w:val="00D46D18"/>
    <w:rsid w:val="00D80303"/>
    <w:rsid w:val="00DC3A4C"/>
    <w:rsid w:val="00DF2868"/>
    <w:rsid w:val="00E148B8"/>
    <w:rsid w:val="00E61172"/>
    <w:rsid w:val="00E72C45"/>
    <w:rsid w:val="00EB2C65"/>
    <w:rsid w:val="00ED6BEF"/>
    <w:rsid w:val="00EF39BE"/>
    <w:rsid w:val="00F23697"/>
    <w:rsid w:val="00F24890"/>
    <w:rsid w:val="00F36BB7"/>
    <w:rsid w:val="00F40525"/>
    <w:rsid w:val="00F47CD8"/>
    <w:rsid w:val="00F55631"/>
    <w:rsid w:val="00F66986"/>
    <w:rsid w:val="00FA19A7"/>
    <w:rsid w:val="00FA38FE"/>
    <w:rsid w:val="00FB3809"/>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2</cp:revision>
  <cp:lastPrinted>2002-03-13T18:46:00Z</cp:lastPrinted>
  <dcterms:created xsi:type="dcterms:W3CDTF">2012-11-29T22:46:00Z</dcterms:created>
  <dcterms:modified xsi:type="dcterms:W3CDTF">2012-11-29T22:46:00Z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