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9F31C7">
        <w:t>June 4</w:t>
      </w:r>
      <w:r w:rsidR="00A8715C">
        <w:t>, 2015</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9F31C7" w:rsidRDefault="00F47CD8" w:rsidP="00235E37">
      <w:pPr>
        <w:ind w:left="0" w:right="-450"/>
        <w:rPr>
          <w:i/>
        </w:rPr>
      </w:pPr>
      <w:r w:rsidRPr="00E23E41">
        <w:rPr>
          <w:b/>
        </w:rPr>
        <w:t>Present:</w:t>
      </w:r>
      <w:r>
        <w:t xml:space="preserve">  </w:t>
      </w:r>
      <w:r w:rsidR="0018124B">
        <w:t xml:space="preserve"> </w:t>
      </w:r>
      <w:r w:rsidR="009F31C7">
        <w:rPr>
          <w:i/>
        </w:rPr>
        <w:t xml:space="preserve">Larry Aycock, </w:t>
      </w:r>
      <w:r w:rsidR="00856C4B" w:rsidRPr="003C222F">
        <w:rPr>
          <w:i/>
        </w:rPr>
        <w:t xml:space="preserve">Kirsten Colvey, </w:t>
      </w:r>
      <w:r w:rsidR="009F31C7">
        <w:rPr>
          <w:i/>
        </w:rPr>
        <w:t xml:space="preserve">Joe Cabrales, </w:t>
      </w:r>
      <w:r w:rsidR="00AD5893">
        <w:rPr>
          <w:i/>
        </w:rPr>
        <w:t xml:space="preserve">Kristina Heilgeist, </w:t>
      </w:r>
      <w:r w:rsidR="009F31C7">
        <w:rPr>
          <w:i/>
        </w:rPr>
        <w:t xml:space="preserve">Carol Hannon, </w:t>
      </w:r>
    </w:p>
    <w:p w:rsidR="009F31C7" w:rsidRDefault="009F31C7" w:rsidP="00235E37">
      <w:pPr>
        <w:ind w:left="0" w:right="-450"/>
      </w:pPr>
      <w:r>
        <w:rPr>
          <w:i/>
        </w:rPr>
        <w:t>A</w:t>
      </w:r>
      <w:r>
        <w:rPr>
          <w:i/>
        </w:rPr>
        <w:t xml:space="preserve">ndy Chang, </w:t>
      </w:r>
      <w:r>
        <w:rPr>
          <w:i/>
        </w:rPr>
        <w:t xml:space="preserve">Cory Brady, </w:t>
      </w:r>
      <w:r>
        <w:rPr>
          <w:i/>
        </w:rPr>
        <w:t xml:space="preserve">*Keith Wurtz, </w:t>
      </w:r>
      <w:r w:rsidRPr="009F31C7">
        <w:rPr>
          <w:i/>
        </w:rPr>
        <w:t>*John Muskavitch,</w:t>
      </w:r>
      <w:r>
        <w:t xml:space="preserve"> </w:t>
      </w:r>
      <w:r w:rsidRPr="009F31C7">
        <w:rPr>
          <w:i/>
        </w:rPr>
        <w:t>*Amber Gallagher,</w:t>
      </w:r>
      <w:r>
        <w:t xml:space="preserve"> </w:t>
      </w:r>
    </w:p>
    <w:p w:rsidR="00A02087" w:rsidRDefault="009F31C7" w:rsidP="00235E37">
      <w:pPr>
        <w:ind w:left="0" w:right="-450"/>
        <w:rPr>
          <w:i/>
        </w:rPr>
      </w:pPr>
      <w:r>
        <w:rPr>
          <w:i/>
        </w:rPr>
        <w:t xml:space="preserve">*Corrina Baber, </w:t>
      </w:r>
      <w:r>
        <w:rPr>
          <w:i/>
        </w:rPr>
        <w:t>*</w:t>
      </w:r>
      <w:r w:rsidR="003C222F" w:rsidRPr="003C222F">
        <w:rPr>
          <w:i/>
        </w:rPr>
        <w:t>Cyndi Gunderson,</w:t>
      </w:r>
      <w:r w:rsidR="003C222F">
        <w:t xml:space="preserve"> </w:t>
      </w:r>
      <w:r w:rsidR="00A8715C">
        <w:rPr>
          <w:i/>
        </w:rPr>
        <w:t xml:space="preserve">and </w:t>
      </w:r>
      <w:r w:rsidR="00235E37">
        <w:rPr>
          <w:i/>
        </w:rPr>
        <w:t>Dianna Jones</w:t>
      </w:r>
      <w:r w:rsidR="00A02087">
        <w:rPr>
          <w:i/>
        </w:rPr>
        <w:t xml:space="preserve"> </w:t>
      </w:r>
    </w:p>
    <w:p w:rsidR="007C1069" w:rsidRDefault="007C1069" w:rsidP="00BC4CBC">
      <w:pPr>
        <w:ind w:left="0"/>
        <w:rPr>
          <w:b/>
        </w:rPr>
      </w:pPr>
    </w:p>
    <w:p w:rsidR="009F31C7" w:rsidRDefault="00B22B57" w:rsidP="00B87C4D">
      <w:pPr>
        <w:ind w:left="0" w:right="-90"/>
        <w:rPr>
          <w:i/>
        </w:rPr>
      </w:pPr>
      <w:r w:rsidRPr="00E23E41">
        <w:rPr>
          <w:b/>
        </w:rPr>
        <w:t>Absent:</w:t>
      </w:r>
      <w:r>
        <w:rPr>
          <w:i/>
        </w:rPr>
        <w:t xml:space="preserve">  </w:t>
      </w:r>
      <w:r w:rsidR="00235E37">
        <w:rPr>
          <w:i/>
        </w:rPr>
        <w:t xml:space="preserve"> </w:t>
      </w:r>
      <w:r w:rsidR="009F31C7">
        <w:rPr>
          <w:i/>
        </w:rPr>
        <w:t xml:space="preserve">James Smith, </w:t>
      </w:r>
      <w:r w:rsidR="00306BF2">
        <w:rPr>
          <w:i/>
        </w:rPr>
        <w:t xml:space="preserve">April Dale-Carter, </w:t>
      </w:r>
      <w:r w:rsidR="009F31C7">
        <w:rPr>
          <w:i/>
        </w:rPr>
        <w:t xml:space="preserve">Colleen Gamboa, Ben Gamboa, </w:t>
      </w:r>
      <w:r w:rsidR="00A8715C">
        <w:rPr>
          <w:i/>
        </w:rPr>
        <w:t xml:space="preserve">Amalia Perez, </w:t>
      </w:r>
    </w:p>
    <w:p w:rsidR="00F47CD8" w:rsidRPr="00962184" w:rsidRDefault="00856C4B" w:rsidP="00B87C4D">
      <w:pPr>
        <w:ind w:left="0" w:right="-90"/>
      </w:pPr>
      <w:r>
        <w:rPr>
          <w:i/>
        </w:rPr>
        <w:t xml:space="preserve">Marco Cota, </w:t>
      </w:r>
      <w:r w:rsidR="00A8715C">
        <w:rPr>
          <w:i/>
        </w:rPr>
        <w:t>Rebecca Warren-Marlatt</w:t>
      </w:r>
      <w:r w:rsidR="00157D30">
        <w:rPr>
          <w:i/>
        </w:rPr>
        <w:t xml:space="preserve">, Ricky Shabazz, </w:t>
      </w:r>
      <w:r w:rsidR="00A8715C">
        <w:rPr>
          <w:i/>
        </w:rPr>
        <w:t xml:space="preserve">Gregory Allred, </w:t>
      </w:r>
      <w:r w:rsidR="00157D30">
        <w:rPr>
          <w:i/>
        </w:rPr>
        <w:t>and Michelle Crocfer</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C32E7B" w:rsidRDefault="00C32E7B" w:rsidP="00C32E7B">
      <w:pPr>
        <w:pStyle w:val="BodyText"/>
        <w:spacing w:before="0" w:after="0"/>
        <w:ind w:hanging="360"/>
        <w:rPr>
          <w:b/>
        </w:rPr>
      </w:pPr>
      <w:r>
        <w:rPr>
          <w:b/>
        </w:rPr>
        <w:t xml:space="preserve">   </w:t>
      </w:r>
      <w:r w:rsidRPr="00B4609E">
        <w:rPr>
          <w:b/>
        </w:rPr>
        <w:t xml:space="preserve">I.    </w:t>
      </w:r>
      <w:r>
        <w:rPr>
          <w:b/>
        </w:rPr>
        <w:t>Gainful Employment (GE) Reporting Status</w:t>
      </w:r>
    </w:p>
    <w:p w:rsidR="005063AC" w:rsidRDefault="00C32E7B" w:rsidP="00C32E7B">
      <w:pPr>
        <w:pStyle w:val="BodyText"/>
        <w:spacing w:before="0" w:after="0"/>
        <w:ind w:left="240"/>
      </w:pPr>
      <w:r>
        <w:t xml:space="preserve">The committee began with open discussion and review of the Gainful Employment reporting, including tasks that must be completed in order for the district to meet the reporting deadline date of July 31, 2015.  </w:t>
      </w:r>
      <w:r w:rsidR="003B3515">
        <w:t xml:space="preserve">There was much discussion on identifying and updating the various screens required in order for the Colleague Gainful Employment process to accurately extract the required data.  </w:t>
      </w:r>
    </w:p>
    <w:p w:rsidR="005063AC" w:rsidRDefault="005063AC" w:rsidP="00C32E7B">
      <w:pPr>
        <w:pStyle w:val="BodyText"/>
        <w:spacing w:before="0" w:after="0"/>
        <w:ind w:left="240"/>
      </w:pPr>
    </w:p>
    <w:p w:rsidR="005063AC" w:rsidRPr="005063AC" w:rsidRDefault="005063AC" w:rsidP="00C32E7B">
      <w:pPr>
        <w:pStyle w:val="BodyText"/>
        <w:spacing w:before="0" w:after="0"/>
        <w:ind w:left="240"/>
        <w:rPr>
          <w:b/>
          <w:i/>
          <w:u w:val="single"/>
        </w:rPr>
      </w:pPr>
      <w:r>
        <w:rPr>
          <w:b/>
          <w:i/>
          <w:u w:val="single"/>
        </w:rPr>
        <w:t>Flag GE on P</w:t>
      </w:r>
      <w:r w:rsidRPr="005063AC">
        <w:rPr>
          <w:b/>
          <w:i/>
          <w:u w:val="single"/>
        </w:rPr>
        <w:t>ROG screen</w:t>
      </w:r>
    </w:p>
    <w:p w:rsidR="00F92B7B" w:rsidRDefault="003B3515" w:rsidP="00C32E7B">
      <w:pPr>
        <w:pStyle w:val="BodyText"/>
        <w:spacing w:before="0" w:after="0"/>
        <w:ind w:left="240"/>
      </w:pPr>
      <w:r>
        <w:t xml:space="preserve">The college instructional offices need to ensure that the code of ‘GE’ is entered on each of the academic programs (PROG) </w:t>
      </w:r>
      <w:r w:rsidR="00EB097C">
        <w:t>screen.</w:t>
      </w:r>
    </w:p>
    <w:p w:rsidR="00EB097C" w:rsidRPr="00F92B7B" w:rsidRDefault="00F92B7B" w:rsidP="00C32E7B">
      <w:pPr>
        <w:pStyle w:val="BodyText"/>
        <w:spacing w:before="0" w:after="0"/>
        <w:ind w:left="240"/>
        <w:rPr>
          <w:sz w:val="22"/>
          <w:szCs w:val="22"/>
        </w:rPr>
      </w:pPr>
      <w:r>
        <w:rPr>
          <w:b/>
          <w:i/>
          <w:sz w:val="22"/>
          <w:szCs w:val="22"/>
        </w:rPr>
        <w:sym w:font="Wingdings 2" w:char="F097"/>
      </w:r>
      <w:r w:rsidRPr="00F92B7B">
        <w:rPr>
          <w:b/>
          <w:i/>
          <w:sz w:val="22"/>
          <w:szCs w:val="22"/>
        </w:rPr>
        <w:t>Action Item:</w:t>
      </w:r>
      <w:r w:rsidRPr="00F92B7B">
        <w:rPr>
          <w:sz w:val="22"/>
          <w:szCs w:val="22"/>
        </w:rPr>
        <w:t xml:space="preserve">  College </w:t>
      </w:r>
      <w:r w:rsidRPr="00F92B7B">
        <w:rPr>
          <w:b/>
          <w:i/>
          <w:sz w:val="22"/>
          <w:szCs w:val="22"/>
        </w:rPr>
        <w:t xml:space="preserve">Instruction </w:t>
      </w:r>
      <w:r w:rsidRPr="00F92B7B">
        <w:rPr>
          <w:i/>
          <w:sz w:val="22"/>
          <w:szCs w:val="22"/>
        </w:rPr>
        <w:t>Offices</w:t>
      </w:r>
      <w:r w:rsidRPr="00F92B7B">
        <w:rPr>
          <w:sz w:val="22"/>
          <w:szCs w:val="22"/>
        </w:rPr>
        <w:t xml:space="preserve"> will flag GE programs on PROG</w:t>
      </w:r>
      <w:r w:rsidR="00EB097C" w:rsidRPr="00F92B7B">
        <w:rPr>
          <w:sz w:val="22"/>
          <w:szCs w:val="22"/>
        </w:rPr>
        <w:t xml:space="preserve">  </w:t>
      </w:r>
    </w:p>
    <w:p w:rsidR="00EB097C" w:rsidRPr="00F92B7B" w:rsidRDefault="00F92B7B" w:rsidP="00C32E7B">
      <w:pPr>
        <w:pStyle w:val="BodyText"/>
        <w:spacing w:before="0" w:after="0"/>
        <w:ind w:left="240"/>
        <w:rPr>
          <w:sz w:val="22"/>
          <w:szCs w:val="22"/>
        </w:rPr>
      </w:pPr>
      <w:r>
        <w:rPr>
          <w:b/>
          <w:i/>
          <w:sz w:val="22"/>
          <w:szCs w:val="22"/>
        </w:rPr>
        <w:sym w:font="Wingdings 2" w:char="F097"/>
      </w:r>
      <w:r>
        <w:rPr>
          <w:b/>
          <w:i/>
          <w:sz w:val="22"/>
          <w:szCs w:val="22"/>
        </w:rPr>
        <w:t>Action</w:t>
      </w:r>
      <w:r w:rsidRPr="00F92B7B">
        <w:rPr>
          <w:b/>
          <w:i/>
          <w:sz w:val="22"/>
          <w:szCs w:val="22"/>
        </w:rPr>
        <w:t xml:space="preserve"> to be completed</w:t>
      </w:r>
      <w:r>
        <w:rPr>
          <w:b/>
          <w:i/>
          <w:sz w:val="22"/>
          <w:szCs w:val="22"/>
        </w:rPr>
        <w:t xml:space="preserve"> by</w:t>
      </w:r>
      <w:r w:rsidRPr="00F92B7B">
        <w:rPr>
          <w:b/>
          <w:i/>
          <w:sz w:val="22"/>
          <w:szCs w:val="22"/>
        </w:rPr>
        <w:t>:</w:t>
      </w:r>
      <w:r>
        <w:rPr>
          <w:b/>
          <w:i/>
          <w:sz w:val="22"/>
          <w:szCs w:val="22"/>
        </w:rPr>
        <w:t xml:space="preserve">  </w:t>
      </w:r>
      <w:r>
        <w:rPr>
          <w:sz w:val="22"/>
          <w:szCs w:val="22"/>
        </w:rPr>
        <w:t>July 20, 2015</w:t>
      </w:r>
    </w:p>
    <w:p w:rsidR="00F92B7B" w:rsidRDefault="00F92B7B" w:rsidP="00C32E7B">
      <w:pPr>
        <w:pStyle w:val="BodyText"/>
        <w:spacing w:before="0" w:after="0"/>
        <w:ind w:left="240"/>
      </w:pPr>
    </w:p>
    <w:p w:rsidR="005063AC" w:rsidRPr="005063AC" w:rsidRDefault="005063AC" w:rsidP="00C32E7B">
      <w:pPr>
        <w:pStyle w:val="BodyText"/>
        <w:spacing w:before="0" w:after="0"/>
        <w:ind w:left="240"/>
        <w:rPr>
          <w:b/>
          <w:i/>
          <w:u w:val="single"/>
        </w:rPr>
      </w:pPr>
      <w:r w:rsidRPr="005063AC">
        <w:rPr>
          <w:b/>
          <w:i/>
          <w:u w:val="single"/>
        </w:rPr>
        <w:t>Identify Title IV Programs (TFPD)</w:t>
      </w:r>
      <w:r>
        <w:rPr>
          <w:b/>
          <w:i/>
          <w:u w:val="single"/>
        </w:rPr>
        <w:t xml:space="preserve"> - resulting in DOE on APRS</w:t>
      </w:r>
    </w:p>
    <w:p w:rsidR="00D90468" w:rsidRDefault="00EB097C" w:rsidP="00C32E7B">
      <w:pPr>
        <w:pStyle w:val="BodyText"/>
        <w:spacing w:before="0" w:after="0"/>
        <w:ind w:left="240"/>
      </w:pPr>
      <w:r>
        <w:t xml:space="preserve">It was initially discussed that Instructional Services would need to update the </w:t>
      </w:r>
      <w:r w:rsidRPr="005063AC">
        <w:rPr>
          <w:b/>
          <w:i/>
        </w:rPr>
        <w:t>APRS</w:t>
      </w:r>
      <w:r>
        <w:t xml:space="preserve"> screen with the Program Designation code of ‘DOE’.  However, Cory Brady stated that through the Financial Aid Annual Setup process review</w:t>
      </w:r>
      <w:r w:rsidR="00E15FD8">
        <w:t xml:space="preserve"> currently being done by Ellucian consultants</w:t>
      </w:r>
      <w:r>
        <w:t xml:space="preserve">, the DOE code </w:t>
      </w:r>
      <w:r w:rsidR="00E15FD8">
        <w:t>can</w:t>
      </w:r>
      <w:r>
        <w:t xml:space="preserve"> actually </w:t>
      </w:r>
      <w:r w:rsidR="00E15FD8">
        <w:t xml:space="preserve">be </w:t>
      </w:r>
      <w:r>
        <w:t>derived from the Title IV Program Designation (</w:t>
      </w:r>
      <w:r w:rsidRPr="005063AC">
        <w:rPr>
          <w:b/>
          <w:i/>
        </w:rPr>
        <w:t>TFPD</w:t>
      </w:r>
      <w:r>
        <w:t>) screen data which is entered/maintained by the Financial Aid departments.  Therefore, the Financial Aid offices will need to update TFPD with all of the GE program</w:t>
      </w:r>
      <w:r w:rsidR="00E15FD8">
        <w:t xml:space="preserve"> data (</w:t>
      </w:r>
      <w:r w:rsidR="00E15FD8" w:rsidRPr="00E15FD8">
        <w:rPr>
          <w:sz w:val="22"/>
          <w:szCs w:val="22"/>
        </w:rPr>
        <w:t>Program Length in weeks</w:t>
      </w:r>
      <w:r w:rsidR="00E15FD8">
        <w:t>)</w:t>
      </w:r>
      <w:r>
        <w:t xml:space="preserve"> for years 2008-09 thru 2012-13.  </w:t>
      </w:r>
    </w:p>
    <w:p w:rsidR="00F92B7B" w:rsidRPr="00F92B7B" w:rsidRDefault="00F92B7B" w:rsidP="00F92B7B">
      <w:pPr>
        <w:pStyle w:val="BodyText"/>
        <w:spacing w:before="0" w:after="0"/>
        <w:ind w:left="240"/>
        <w:rPr>
          <w:sz w:val="22"/>
          <w:szCs w:val="22"/>
        </w:rPr>
      </w:pPr>
      <w:r>
        <w:rPr>
          <w:b/>
          <w:i/>
          <w:sz w:val="22"/>
          <w:szCs w:val="22"/>
        </w:rPr>
        <w:sym w:font="Wingdings 2" w:char="F097"/>
      </w:r>
      <w:r w:rsidRPr="00F92B7B">
        <w:rPr>
          <w:b/>
          <w:i/>
          <w:sz w:val="22"/>
          <w:szCs w:val="22"/>
        </w:rPr>
        <w:t>Action Item:</w:t>
      </w:r>
      <w:r w:rsidRPr="00F92B7B">
        <w:rPr>
          <w:sz w:val="22"/>
          <w:szCs w:val="22"/>
        </w:rPr>
        <w:t xml:space="preserve">  College </w:t>
      </w:r>
      <w:r w:rsidRPr="00F92B7B">
        <w:rPr>
          <w:b/>
          <w:i/>
          <w:sz w:val="22"/>
          <w:szCs w:val="22"/>
        </w:rPr>
        <w:t>Financial Aid</w:t>
      </w:r>
      <w:r w:rsidRPr="00F92B7B">
        <w:rPr>
          <w:sz w:val="22"/>
          <w:szCs w:val="22"/>
        </w:rPr>
        <w:t xml:space="preserve"> Offices will </w:t>
      </w:r>
      <w:r>
        <w:rPr>
          <w:sz w:val="22"/>
          <w:szCs w:val="22"/>
        </w:rPr>
        <w:t>update TFPD with GE programs (Length in weeks)</w:t>
      </w:r>
      <w:r w:rsidRPr="00F92B7B">
        <w:rPr>
          <w:sz w:val="22"/>
          <w:szCs w:val="22"/>
        </w:rPr>
        <w:t xml:space="preserve"> </w:t>
      </w:r>
    </w:p>
    <w:p w:rsidR="00F92B7B" w:rsidRPr="00F92B7B" w:rsidRDefault="00F92B7B" w:rsidP="00F92B7B">
      <w:pPr>
        <w:pStyle w:val="BodyText"/>
        <w:spacing w:before="0" w:after="0"/>
        <w:ind w:left="240"/>
        <w:rPr>
          <w:sz w:val="22"/>
          <w:szCs w:val="22"/>
        </w:rPr>
      </w:pPr>
      <w:r>
        <w:rPr>
          <w:b/>
          <w:i/>
          <w:sz w:val="22"/>
          <w:szCs w:val="22"/>
        </w:rPr>
        <w:sym w:font="Wingdings 2" w:char="F097"/>
      </w:r>
      <w:r>
        <w:rPr>
          <w:b/>
          <w:i/>
          <w:sz w:val="22"/>
          <w:szCs w:val="22"/>
        </w:rPr>
        <w:t>Action</w:t>
      </w:r>
      <w:r w:rsidRPr="00F92B7B">
        <w:rPr>
          <w:b/>
          <w:i/>
          <w:sz w:val="22"/>
          <w:szCs w:val="22"/>
        </w:rPr>
        <w:t xml:space="preserve"> to be completed</w:t>
      </w:r>
      <w:r>
        <w:rPr>
          <w:b/>
          <w:i/>
          <w:sz w:val="22"/>
          <w:szCs w:val="22"/>
        </w:rPr>
        <w:t xml:space="preserve"> by</w:t>
      </w:r>
      <w:r w:rsidRPr="00F92B7B">
        <w:rPr>
          <w:b/>
          <w:i/>
          <w:sz w:val="22"/>
          <w:szCs w:val="22"/>
        </w:rPr>
        <w:t>:</w:t>
      </w:r>
      <w:r>
        <w:rPr>
          <w:b/>
          <w:i/>
          <w:sz w:val="22"/>
          <w:szCs w:val="22"/>
        </w:rPr>
        <w:t xml:space="preserve">  </w:t>
      </w:r>
      <w:r>
        <w:rPr>
          <w:sz w:val="22"/>
          <w:szCs w:val="22"/>
        </w:rPr>
        <w:t>July 20, 2015</w:t>
      </w:r>
    </w:p>
    <w:p w:rsidR="00D90468" w:rsidRDefault="00D90468" w:rsidP="00C32E7B">
      <w:pPr>
        <w:pStyle w:val="BodyText"/>
        <w:spacing w:before="0" w:after="0"/>
        <w:ind w:left="240"/>
      </w:pPr>
    </w:p>
    <w:p w:rsidR="00F92B7B" w:rsidRPr="005063AC" w:rsidRDefault="00F92B7B" w:rsidP="00F92B7B">
      <w:pPr>
        <w:pStyle w:val="BodyText"/>
        <w:spacing w:before="0" w:after="0"/>
        <w:ind w:left="240"/>
        <w:rPr>
          <w:b/>
          <w:i/>
          <w:u w:val="single"/>
        </w:rPr>
      </w:pPr>
      <w:r w:rsidRPr="005063AC">
        <w:rPr>
          <w:b/>
          <w:i/>
          <w:u w:val="single"/>
        </w:rPr>
        <w:t>Cost of Attendance Summary (GEPI)</w:t>
      </w:r>
    </w:p>
    <w:p w:rsidR="00FF30FE" w:rsidRDefault="00FF30FE" w:rsidP="00FF30FE">
      <w:pPr>
        <w:pStyle w:val="BodyText"/>
        <w:spacing w:before="0" w:after="0"/>
        <w:ind w:left="240"/>
      </w:pPr>
      <w:r>
        <w:t xml:space="preserve">The committee was advised that the ‘cost of attendance summary’ information is now a required component of the Gainful Employment reporting.  Amber Gallagher asked if we could use the cost of attendance data from the Financial Aid annual budget.  However, since this is the TOTAL cost of the program and not by year, we cannot get this value directly from the Annual Student Budget sheets.  </w:t>
      </w:r>
    </w:p>
    <w:p w:rsidR="00FF30FE" w:rsidRDefault="00FF30FE" w:rsidP="00C32E7B">
      <w:pPr>
        <w:pStyle w:val="BodyText"/>
        <w:spacing w:before="0" w:after="0"/>
        <w:ind w:left="240"/>
      </w:pPr>
    </w:p>
    <w:p w:rsidR="003B3515" w:rsidRDefault="00EB097C" w:rsidP="00C32E7B">
      <w:pPr>
        <w:pStyle w:val="BodyText"/>
        <w:spacing w:before="0" w:after="0"/>
        <w:ind w:left="240"/>
      </w:pPr>
      <w:r>
        <w:t>Joe Cabrales stated that much</w:t>
      </w:r>
      <w:r w:rsidR="00E15FD8">
        <w:t xml:space="preserve"> of this information has been gathered and used by Keith Wurtz as part of the Gainful Employment Disclosure process.  Keith stated that he has this data in an </w:t>
      </w:r>
      <w:r w:rsidR="00E15FD8">
        <w:lastRenderedPageBreak/>
        <w:t>Excel spreadsheet format and will email it to John Muskavitch to use for updating the TFPD programs for Crafton.</w:t>
      </w:r>
    </w:p>
    <w:p w:rsidR="00D90468" w:rsidRDefault="00D90468" w:rsidP="00C32E7B">
      <w:pPr>
        <w:pStyle w:val="BodyText"/>
        <w:spacing w:before="0" w:after="0"/>
        <w:ind w:left="240"/>
      </w:pPr>
    </w:p>
    <w:p w:rsidR="00D90468" w:rsidRDefault="00D90468" w:rsidP="00C32E7B">
      <w:pPr>
        <w:pStyle w:val="BodyText"/>
        <w:spacing w:before="0" w:after="0"/>
        <w:ind w:left="240"/>
      </w:pPr>
      <w:r>
        <w:t xml:space="preserve">Amber Gallagher stated that she would contact James Smith to get Valley’s Gainful Employment Disclosure data from prior years to determine the GE program information </w:t>
      </w:r>
      <w:r w:rsidR="003D6761">
        <w:t>that should be</w:t>
      </w:r>
      <w:r>
        <w:t xml:space="preserve"> reported for each of the required reporting years (2008-09 thru 2012-13). </w:t>
      </w:r>
    </w:p>
    <w:p w:rsidR="00F92B7B" w:rsidRDefault="00F92B7B" w:rsidP="00C32E7B">
      <w:pPr>
        <w:pStyle w:val="BodyText"/>
        <w:spacing w:before="0" w:after="0"/>
        <w:ind w:left="240"/>
      </w:pPr>
    </w:p>
    <w:p w:rsidR="005F62B7" w:rsidRPr="005063AC" w:rsidRDefault="005063AC" w:rsidP="00C32E7B">
      <w:pPr>
        <w:pStyle w:val="BodyText"/>
        <w:spacing w:before="0" w:after="0"/>
        <w:ind w:left="240"/>
        <w:rPr>
          <w:i/>
          <w:color w:val="C00000"/>
        </w:rPr>
      </w:pPr>
      <w:r>
        <w:t xml:space="preserve">After further discussion, </w:t>
      </w:r>
      <w:r w:rsidR="005F62B7">
        <w:t xml:space="preserve">it was decided that each of the colleges’ Research Offices would provide this cost </w:t>
      </w:r>
      <w:r>
        <w:t xml:space="preserve">of attendance summary </w:t>
      </w:r>
      <w:r w:rsidR="005F62B7">
        <w:t xml:space="preserve">information.  </w:t>
      </w:r>
      <w:r w:rsidR="005F62B7" w:rsidRPr="001D4AF2">
        <w:rPr>
          <w:b/>
          <w:i/>
          <w:color w:val="C00000"/>
          <w:sz w:val="22"/>
          <w:szCs w:val="22"/>
        </w:rPr>
        <w:t>We</w:t>
      </w:r>
      <w:r w:rsidRPr="001D4AF2">
        <w:rPr>
          <w:b/>
          <w:i/>
          <w:color w:val="C00000"/>
          <w:sz w:val="22"/>
          <w:szCs w:val="22"/>
        </w:rPr>
        <w:t xml:space="preserve"> </w:t>
      </w:r>
      <w:r w:rsidR="005F62B7" w:rsidRPr="001D4AF2">
        <w:rPr>
          <w:b/>
          <w:i/>
          <w:color w:val="C00000"/>
          <w:sz w:val="22"/>
          <w:szCs w:val="22"/>
        </w:rPr>
        <w:t xml:space="preserve">still need to determine which office will be responsible for </w:t>
      </w:r>
      <w:r w:rsidRPr="001D4AF2">
        <w:rPr>
          <w:b/>
          <w:i/>
          <w:color w:val="C00000"/>
          <w:sz w:val="22"/>
          <w:szCs w:val="22"/>
        </w:rPr>
        <w:t xml:space="preserve">entering and </w:t>
      </w:r>
      <w:r w:rsidR="005F62B7" w:rsidRPr="001D4AF2">
        <w:rPr>
          <w:b/>
          <w:i/>
          <w:color w:val="C00000"/>
          <w:sz w:val="22"/>
          <w:szCs w:val="22"/>
        </w:rPr>
        <w:t>maintaining this da</w:t>
      </w:r>
      <w:r w:rsidRPr="001D4AF2">
        <w:rPr>
          <w:b/>
          <w:i/>
          <w:color w:val="C00000"/>
          <w:sz w:val="22"/>
          <w:szCs w:val="22"/>
        </w:rPr>
        <w:t>ta on the GEPI screen.</w:t>
      </w:r>
    </w:p>
    <w:p w:rsidR="00F92B7B" w:rsidRDefault="00F92B7B" w:rsidP="00F92B7B">
      <w:pPr>
        <w:pStyle w:val="BodyText"/>
        <w:spacing w:before="0" w:after="0"/>
        <w:ind w:left="240"/>
        <w:rPr>
          <w:sz w:val="22"/>
          <w:szCs w:val="22"/>
        </w:rPr>
      </w:pPr>
      <w:r>
        <w:rPr>
          <w:b/>
          <w:i/>
          <w:sz w:val="22"/>
          <w:szCs w:val="22"/>
        </w:rPr>
        <w:sym w:font="Wingdings 2" w:char="F097"/>
      </w:r>
      <w:r w:rsidRPr="00F92B7B">
        <w:rPr>
          <w:b/>
          <w:i/>
          <w:sz w:val="22"/>
          <w:szCs w:val="22"/>
        </w:rPr>
        <w:t>Action Item:</w:t>
      </w:r>
      <w:r w:rsidRPr="00F92B7B">
        <w:rPr>
          <w:sz w:val="22"/>
          <w:szCs w:val="22"/>
        </w:rPr>
        <w:t xml:space="preserve">  College </w:t>
      </w:r>
      <w:r w:rsidR="001D4AF2">
        <w:rPr>
          <w:b/>
          <w:i/>
          <w:sz w:val="22"/>
          <w:szCs w:val="22"/>
        </w:rPr>
        <w:t>Research</w:t>
      </w:r>
      <w:r w:rsidRPr="00F92B7B">
        <w:rPr>
          <w:sz w:val="22"/>
          <w:szCs w:val="22"/>
        </w:rPr>
        <w:t xml:space="preserve"> Offices will </w:t>
      </w:r>
      <w:r w:rsidR="001D4AF2">
        <w:rPr>
          <w:sz w:val="22"/>
          <w:szCs w:val="22"/>
        </w:rPr>
        <w:t>provide</w:t>
      </w:r>
      <w:r>
        <w:rPr>
          <w:sz w:val="22"/>
          <w:szCs w:val="22"/>
        </w:rPr>
        <w:t xml:space="preserve"> </w:t>
      </w:r>
      <w:r>
        <w:rPr>
          <w:sz w:val="22"/>
          <w:szCs w:val="22"/>
        </w:rPr>
        <w:t xml:space="preserve">Cost of Attendance Summary information </w:t>
      </w:r>
    </w:p>
    <w:p w:rsidR="00F92B7B" w:rsidRPr="00F92B7B" w:rsidRDefault="00F92B7B" w:rsidP="00F92B7B">
      <w:pPr>
        <w:pStyle w:val="BodyText"/>
        <w:spacing w:before="0" w:after="0"/>
        <w:ind w:left="240"/>
        <w:rPr>
          <w:sz w:val="22"/>
          <w:szCs w:val="22"/>
        </w:rPr>
      </w:pPr>
      <w:r>
        <w:rPr>
          <w:b/>
          <w:i/>
          <w:sz w:val="22"/>
          <w:szCs w:val="22"/>
        </w:rPr>
        <w:sym w:font="Wingdings 2" w:char="F097"/>
      </w:r>
      <w:r>
        <w:rPr>
          <w:b/>
          <w:i/>
          <w:sz w:val="22"/>
          <w:szCs w:val="22"/>
        </w:rPr>
        <w:t>Action</w:t>
      </w:r>
      <w:r w:rsidRPr="00F92B7B">
        <w:rPr>
          <w:b/>
          <w:i/>
          <w:sz w:val="22"/>
          <w:szCs w:val="22"/>
        </w:rPr>
        <w:t xml:space="preserve"> to be completed</w:t>
      </w:r>
      <w:r>
        <w:rPr>
          <w:b/>
          <w:i/>
          <w:sz w:val="22"/>
          <w:szCs w:val="22"/>
        </w:rPr>
        <w:t xml:space="preserve"> by</w:t>
      </w:r>
      <w:r w:rsidRPr="00F92B7B">
        <w:rPr>
          <w:b/>
          <w:i/>
          <w:sz w:val="22"/>
          <w:szCs w:val="22"/>
        </w:rPr>
        <w:t>:</w:t>
      </w:r>
      <w:r>
        <w:rPr>
          <w:b/>
          <w:i/>
          <w:sz w:val="22"/>
          <w:szCs w:val="22"/>
        </w:rPr>
        <w:t xml:space="preserve">  </w:t>
      </w:r>
      <w:r>
        <w:rPr>
          <w:sz w:val="22"/>
          <w:szCs w:val="22"/>
        </w:rPr>
        <w:t>July 20, 2015</w:t>
      </w:r>
    </w:p>
    <w:p w:rsidR="005F62B7" w:rsidRDefault="005F62B7" w:rsidP="00C32E7B">
      <w:pPr>
        <w:pStyle w:val="BodyText"/>
        <w:spacing w:before="0" w:after="0"/>
        <w:ind w:left="240"/>
      </w:pPr>
    </w:p>
    <w:p w:rsidR="00C32E7B" w:rsidRDefault="00A63186" w:rsidP="00C32E7B">
      <w:pPr>
        <w:pStyle w:val="BodyText"/>
        <w:spacing w:before="0" w:after="0"/>
        <w:ind w:left="240"/>
      </w:pPr>
      <w:r>
        <w:t>O</w:t>
      </w:r>
      <w:r w:rsidR="00C32E7B">
        <w:t xml:space="preserve">verview of the tasks </w:t>
      </w:r>
      <w:r w:rsidR="001D4AF2">
        <w:t xml:space="preserve">to be completed by </w:t>
      </w:r>
      <w:r w:rsidR="001D4AF2" w:rsidRPr="00A63186">
        <w:rPr>
          <w:b/>
          <w:i/>
        </w:rPr>
        <w:t>July 20, 2015</w:t>
      </w:r>
      <w:r w:rsidR="00C32E7B">
        <w:t>:</w:t>
      </w:r>
    </w:p>
    <w:tbl>
      <w:tblPr>
        <w:tblStyle w:val="TableGrid"/>
        <w:tblW w:w="9350" w:type="dxa"/>
        <w:tblInd w:w="265" w:type="dxa"/>
        <w:tblLook w:val="04A0" w:firstRow="1" w:lastRow="0" w:firstColumn="1" w:lastColumn="0" w:noHBand="0" w:noVBand="1"/>
      </w:tblPr>
      <w:tblGrid>
        <w:gridCol w:w="2340"/>
        <w:gridCol w:w="7010"/>
      </w:tblGrid>
      <w:tr w:rsidR="00C32E7B" w:rsidTr="001D4AF2">
        <w:tc>
          <w:tcPr>
            <w:tcW w:w="2340" w:type="dxa"/>
          </w:tcPr>
          <w:p w:rsidR="00C32E7B" w:rsidRPr="00C32E7B" w:rsidRDefault="001D4AF2" w:rsidP="00C32E7B">
            <w:pPr>
              <w:pStyle w:val="BodyText"/>
              <w:spacing w:before="0" w:after="0"/>
              <w:rPr>
                <w:sz w:val="20"/>
                <w:szCs w:val="20"/>
              </w:rPr>
            </w:pPr>
            <w:r>
              <w:rPr>
                <w:sz w:val="20"/>
                <w:szCs w:val="20"/>
              </w:rPr>
              <w:t>Responsible Department</w:t>
            </w:r>
          </w:p>
        </w:tc>
        <w:tc>
          <w:tcPr>
            <w:tcW w:w="7010" w:type="dxa"/>
          </w:tcPr>
          <w:p w:rsidR="00C32E7B" w:rsidRPr="00C32E7B" w:rsidRDefault="00C32E7B" w:rsidP="00C32E7B">
            <w:pPr>
              <w:pStyle w:val="BodyText"/>
              <w:spacing w:before="0" w:after="0"/>
              <w:rPr>
                <w:sz w:val="20"/>
                <w:szCs w:val="20"/>
              </w:rPr>
            </w:pPr>
            <w:r w:rsidRPr="00C32E7B">
              <w:rPr>
                <w:sz w:val="20"/>
                <w:szCs w:val="20"/>
              </w:rPr>
              <w:t>Task</w:t>
            </w:r>
          </w:p>
        </w:tc>
      </w:tr>
      <w:tr w:rsidR="001D4AF2" w:rsidTr="001D4AF2">
        <w:tc>
          <w:tcPr>
            <w:tcW w:w="2340" w:type="dxa"/>
            <w:vMerge w:val="restart"/>
          </w:tcPr>
          <w:p w:rsidR="001D4AF2" w:rsidRPr="00C32E7B" w:rsidRDefault="001D4AF2" w:rsidP="00C32E7B">
            <w:pPr>
              <w:pStyle w:val="BodyText"/>
              <w:spacing w:before="0" w:after="0"/>
              <w:rPr>
                <w:sz w:val="20"/>
                <w:szCs w:val="20"/>
              </w:rPr>
            </w:pPr>
            <w:r>
              <w:rPr>
                <w:sz w:val="20"/>
                <w:szCs w:val="20"/>
              </w:rPr>
              <w:t xml:space="preserve">    </w:t>
            </w:r>
            <w:r w:rsidRPr="00C32E7B">
              <w:rPr>
                <w:sz w:val="20"/>
                <w:szCs w:val="20"/>
              </w:rPr>
              <w:t>Instructional Services</w:t>
            </w:r>
          </w:p>
          <w:p w:rsidR="001D4AF2" w:rsidRPr="00C32E7B" w:rsidRDefault="001D4AF2" w:rsidP="00C32E7B">
            <w:pPr>
              <w:pStyle w:val="BodyText"/>
              <w:spacing w:before="0" w:after="0"/>
              <w:rPr>
                <w:sz w:val="20"/>
                <w:szCs w:val="20"/>
              </w:rPr>
            </w:pPr>
            <w:r>
              <w:rPr>
                <w:sz w:val="20"/>
                <w:szCs w:val="20"/>
              </w:rPr>
              <w:t xml:space="preserve">    </w:t>
            </w:r>
          </w:p>
        </w:tc>
        <w:tc>
          <w:tcPr>
            <w:tcW w:w="7010" w:type="dxa"/>
          </w:tcPr>
          <w:p w:rsidR="001D4AF2" w:rsidRPr="00C32E7B" w:rsidRDefault="001D4AF2" w:rsidP="00C32E7B">
            <w:pPr>
              <w:pStyle w:val="BodyText"/>
              <w:spacing w:before="0" w:after="0"/>
              <w:rPr>
                <w:sz w:val="20"/>
                <w:szCs w:val="20"/>
              </w:rPr>
            </w:pPr>
            <w:r>
              <w:rPr>
                <w:sz w:val="20"/>
                <w:szCs w:val="20"/>
              </w:rPr>
              <w:t xml:space="preserve">  Verify Gainful Employment (GE) Programs by year, 2008-09 thru 2012-13</w:t>
            </w:r>
          </w:p>
        </w:tc>
      </w:tr>
      <w:tr w:rsidR="001D4AF2" w:rsidTr="001D4AF2">
        <w:tc>
          <w:tcPr>
            <w:tcW w:w="2340" w:type="dxa"/>
            <w:vMerge/>
          </w:tcPr>
          <w:p w:rsidR="001D4AF2" w:rsidRPr="00C32E7B" w:rsidRDefault="001D4AF2" w:rsidP="00C32E7B">
            <w:pPr>
              <w:pStyle w:val="BodyText"/>
              <w:spacing w:before="0" w:after="0"/>
              <w:rPr>
                <w:sz w:val="20"/>
                <w:szCs w:val="20"/>
              </w:rPr>
            </w:pPr>
          </w:p>
        </w:tc>
        <w:tc>
          <w:tcPr>
            <w:tcW w:w="7010" w:type="dxa"/>
          </w:tcPr>
          <w:p w:rsidR="001D4AF2" w:rsidRPr="00C32E7B" w:rsidRDefault="001D4AF2" w:rsidP="00C32E7B">
            <w:pPr>
              <w:pStyle w:val="BodyText"/>
              <w:spacing w:before="0" w:after="0"/>
              <w:rPr>
                <w:sz w:val="20"/>
                <w:szCs w:val="20"/>
              </w:rPr>
            </w:pPr>
            <w:r>
              <w:rPr>
                <w:sz w:val="20"/>
                <w:szCs w:val="20"/>
              </w:rPr>
              <w:t xml:space="preserve">  PROG – Flag all Gainful Employment programs as ‘GE’ in ‘Types’ field</w:t>
            </w:r>
          </w:p>
        </w:tc>
      </w:tr>
      <w:tr w:rsidR="003B3515" w:rsidTr="001D4AF2">
        <w:tc>
          <w:tcPr>
            <w:tcW w:w="2340" w:type="dxa"/>
          </w:tcPr>
          <w:p w:rsidR="003B3515" w:rsidRDefault="00E15FD8" w:rsidP="00C32E7B">
            <w:pPr>
              <w:pStyle w:val="BodyText"/>
              <w:spacing w:before="0" w:after="0"/>
              <w:rPr>
                <w:sz w:val="20"/>
                <w:szCs w:val="20"/>
              </w:rPr>
            </w:pPr>
            <w:r>
              <w:rPr>
                <w:sz w:val="20"/>
                <w:szCs w:val="20"/>
              </w:rPr>
              <w:t xml:space="preserve">    Financial Aid</w:t>
            </w:r>
          </w:p>
        </w:tc>
        <w:tc>
          <w:tcPr>
            <w:tcW w:w="7010" w:type="dxa"/>
          </w:tcPr>
          <w:p w:rsidR="001D4AF2" w:rsidRDefault="001D4AF2" w:rsidP="00F92B7B">
            <w:pPr>
              <w:pStyle w:val="BodyText"/>
              <w:spacing w:before="0" w:after="0"/>
              <w:rPr>
                <w:sz w:val="20"/>
                <w:szCs w:val="20"/>
              </w:rPr>
            </w:pPr>
            <w:r>
              <w:rPr>
                <w:sz w:val="20"/>
                <w:szCs w:val="20"/>
              </w:rPr>
              <w:t xml:space="preserve">  </w:t>
            </w:r>
            <w:r w:rsidR="00E15FD8">
              <w:rPr>
                <w:sz w:val="20"/>
                <w:szCs w:val="20"/>
              </w:rPr>
              <w:t xml:space="preserve">TFPD – Enter all Gainful Employment programs with Program Length &amp; #Weeks </w:t>
            </w:r>
            <w:r>
              <w:rPr>
                <w:sz w:val="20"/>
                <w:szCs w:val="20"/>
              </w:rPr>
              <w:t xml:space="preserve">  </w:t>
            </w:r>
          </w:p>
          <w:p w:rsidR="001D4AF2" w:rsidRDefault="001D4AF2" w:rsidP="001D4AF2">
            <w:pPr>
              <w:pStyle w:val="BodyText"/>
              <w:spacing w:before="0" w:after="0"/>
              <w:rPr>
                <w:sz w:val="20"/>
                <w:szCs w:val="20"/>
              </w:rPr>
            </w:pPr>
            <w:r>
              <w:rPr>
                <w:sz w:val="20"/>
                <w:szCs w:val="20"/>
              </w:rPr>
              <w:t xml:space="preserve">                </w:t>
            </w:r>
            <w:r w:rsidR="00E15FD8">
              <w:rPr>
                <w:sz w:val="20"/>
                <w:szCs w:val="20"/>
              </w:rPr>
              <w:t>for years 2008-09 thru 2012-13.</w:t>
            </w:r>
            <w:r w:rsidR="00F92B7B">
              <w:rPr>
                <w:sz w:val="20"/>
                <w:szCs w:val="20"/>
              </w:rPr>
              <w:t xml:space="preserve">  Once entered, the DOE value defaults to </w:t>
            </w:r>
            <w:r>
              <w:rPr>
                <w:sz w:val="20"/>
                <w:szCs w:val="20"/>
              </w:rPr>
              <w:t xml:space="preserve">  </w:t>
            </w:r>
          </w:p>
          <w:p w:rsidR="003B3515" w:rsidRDefault="001D4AF2" w:rsidP="001D4AF2">
            <w:pPr>
              <w:pStyle w:val="BodyText"/>
              <w:spacing w:before="0" w:after="0"/>
              <w:rPr>
                <w:sz w:val="20"/>
                <w:szCs w:val="20"/>
              </w:rPr>
            </w:pPr>
            <w:r>
              <w:rPr>
                <w:sz w:val="20"/>
                <w:szCs w:val="20"/>
              </w:rPr>
              <w:t xml:space="preserve">                </w:t>
            </w:r>
            <w:r w:rsidR="00F92B7B">
              <w:rPr>
                <w:sz w:val="20"/>
                <w:szCs w:val="20"/>
              </w:rPr>
              <w:t>the</w:t>
            </w:r>
            <w:r>
              <w:rPr>
                <w:sz w:val="20"/>
                <w:szCs w:val="20"/>
              </w:rPr>
              <w:t xml:space="preserve"> </w:t>
            </w:r>
            <w:r w:rsidR="00F92B7B">
              <w:rPr>
                <w:sz w:val="20"/>
                <w:szCs w:val="20"/>
              </w:rPr>
              <w:t>APRS screen for the program for the reporting year.</w:t>
            </w:r>
          </w:p>
        </w:tc>
      </w:tr>
      <w:tr w:rsidR="00E15FD8" w:rsidTr="001D4AF2">
        <w:tc>
          <w:tcPr>
            <w:tcW w:w="2340" w:type="dxa"/>
          </w:tcPr>
          <w:p w:rsidR="00E15FD8" w:rsidRDefault="00E15FD8" w:rsidP="00C32E7B">
            <w:pPr>
              <w:pStyle w:val="BodyText"/>
              <w:spacing w:before="0" w:after="0"/>
              <w:rPr>
                <w:sz w:val="20"/>
                <w:szCs w:val="20"/>
              </w:rPr>
            </w:pPr>
            <w:r>
              <w:rPr>
                <w:sz w:val="20"/>
                <w:szCs w:val="20"/>
              </w:rPr>
              <w:t xml:space="preserve">    Research</w:t>
            </w:r>
          </w:p>
        </w:tc>
        <w:tc>
          <w:tcPr>
            <w:tcW w:w="7010" w:type="dxa"/>
          </w:tcPr>
          <w:p w:rsidR="00D90468" w:rsidRDefault="001D4AF2" w:rsidP="001D4AF2">
            <w:pPr>
              <w:pStyle w:val="BodyText"/>
              <w:spacing w:before="0" w:after="0"/>
              <w:rPr>
                <w:sz w:val="20"/>
                <w:szCs w:val="20"/>
              </w:rPr>
            </w:pPr>
            <w:r>
              <w:rPr>
                <w:sz w:val="20"/>
                <w:szCs w:val="20"/>
              </w:rPr>
              <w:t xml:space="preserve">  </w:t>
            </w:r>
            <w:r w:rsidR="00E15FD8">
              <w:rPr>
                <w:sz w:val="20"/>
                <w:szCs w:val="20"/>
              </w:rPr>
              <w:t xml:space="preserve">GEPI – </w:t>
            </w:r>
            <w:r w:rsidR="00D90468">
              <w:rPr>
                <w:sz w:val="20"/>
                <w:szCs w:val="20"/>
              </w:rPr>
              <w:t xml:space="preserve">Determine program costs by GE Program for 2008-09 thru 2012-13             </w:t>
            </w:r>
          </w:p>
        </w:tc>
      </w:tr>
    </w:tbl>
    <w:p w:rsidR="00C32E7B" w:rsidRDefault="00C32E7B" w:rsidP="00C32E7B">
      <w:pPr>
        <w:pStyle w:val="BodyText"/>
        <w:spacing w:before="0" w:after="0"/>
        <w:ind w:firstLine="240"/>
      </w:pPr>
    </w:p>
    <w:p w:rsidR="00C32E7B" w:rsidRDefault="00C32E7B"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C32E7B">
        <w:rPr>
          <w:b/>
        </w:rPr>
        <w:t>I</w:t>
      </w:r>
      <w:r w:rsidR="0018124B" w:rsidRPr="00B4609E">
        <w:rPr>
          <w:b/>
        </w:rPr>
        <w:t xml:space="preserve">I.   </w:t>
      </w:r>
      <w:r w:rsidR="00632238">
        <w:rPr>
          <w:b/>
        </w:rPr>
        <w:t xml:space="preserve"> </w:t>
      </w:r>
      <w:r w:rsidR="001D4AF2">
        <w:rPr>
          <w:b/>
        </w:rPr>
        <w:t>Upcoming MIS Submission Status</w:t>
      </w:r>
    </w:p>
    <w:p w:rsidR="00C32E7B" w:rsidRDefault="00C32E7B" w:rsidP="00157D30">
      <w:pPr>
        <w:ind w:left="180"/>
      </w:pPr>
      <w:r>
        <w:t xml:space="preserve">Carol Hannon provided a brief overview of the status of the Spring 2015 MIS data file processing.  Carol stated that she has done an initial run of the Course Basic </w:t>
      </w:r>
      <w:r w:rsidR="001D4AF2">
        <w:t xml:space="preserve">(CB) </w:t>
      </w:r>
      <w:r>
        <w:t xml:space="preserve">file and distributed results to the college Instructional departments for review and updates, </w:t>
      </w:r>
      <w:r w:rsidR="001D4AF2">
        <w:t>if</w:t>
      </w:r>
      <w:r>
        <w:t xml:space="preserve"> necessary.</w:t>
      </w:r>
    </w:p>
    <w:p w:rsidR="00CD0748" w:rsidRDefault="001D4AF2" w:rsidP="00157D30">
      <w:pPr>
        <w:ind w:left="180"/>
      </w:pPr>
      <w:r>
        <w:t xml:space="preserve">She </w:t>
      </w:r>
      <w:r w:rsidR="00C32E7B">
        <w:t xml:space="preserve">reminded </w:t>
      </w:r>
      <w:r>
        <w:t xml:space="preserve">the committee </w:t>
      </w:r>
      <w:r w:rsidR="00C32E7B">
        <w:t xml:space="preserve">that </w:t>
      </w:r>
      <w:r w:rsidR="00856C4B">
        <w:t xml:space="preserve">Spring 2015 </w:t>
      </w:r>
      <w:r w:rsidR="003C222F">
        <w:t xml:space="preserve">MIS reporting </w:t>
      </w:r>
      <w:r w:rsidR="00C32E7B">
        <w:t>i</w:t>
      </w:r>
      <w:r w:rsidR="003C222F">
        <w:t>s due 30 days after end of term.</w:t>
      </w:r>
    </w:p>
    <w:p w:rsidR="00CD0748" w:rsidRDefault="00CD0748" w:rsidP="00157D30">
      <w:pPr>
        <w:ind w:left="180"/>
      </w:pPr>
    </w:p>
    <w:p w:rsidR="004D2D82" w:rsidRDefault="00EB0519" w:rsidP="00BA02C1">
      <w:pPr>
        <w:pStyle w:val="BodyText"/>
        <w:numPr>
          <w:ilvl w:val="0"/>
          <w:numId w:val="36"/>
        </w:numPr>
        <w:spacing w:before="0" w:after="0"/>
        <w:ind w:left="180" w:hanging="540"/>
        <w:rPr>
          <w:b/>
        </w:rPr>
      </w:pPr>
      <w:r>
        <w:rPr>
          <w:b/>
        </w:rPr>
        <w:t>Cynosure Orientation Import</w:t>
      </w:r>
      <w:r w:rsidR="00BA02C1">
        <w:rPr>
          <w:b/>
        </w:rPr>
        <w:t xml:space="preserve"> – </w:t>
      </w:r>
      <w:r>
        <w:rPr>
          <w:b/>
        </w:rPr>
        <w:t>CHC</w:t>
      </w:r>
    </w:p>
    <w:p w:rsidR="001D4AF2" w:rsidRDefault="0059716A" w:rsidP="00BA02C1">
      <w:pPr>
        <w:pStyle w:val="BodyText"/>
        <w:spacing w:before="0" w:after="0"/>
        <w:ind w:left="180"/>
      </w:pPr>
      <w:r>
        <w:t>Kirsten</w:t>
      </w:r>
      <w:r w:rsidR="00874E06">
        <w:t xml:space="preserve"> Colvey </w:t>
      </w:r>
      <w:r>
        <w:t>review</w:t>
      </w:r>
      <w:r w:rsidR="00874E06">
        <w:t xml:space="preserve">ed </w:t>
      </w:r>
      <w:r>
        <w:t xml:space="preserve">the initial list of EPC student contacts </w:t>
      </w:r>
      <w:r w:rsidR="001D4AF2">
        <w:t>to be changed from EPC to EPA</w:t>
      </w:r>
      <w:r w:rsidR="00874E06">
        <w:t>, and</w:t>
      </w:r>
      <w:r w:rsidR="001D4AF2">
        <w:t xml:space="preserve"> has requested to </w:t>
      </w:r>
      <w:r w:rsidR="00874E06">
        <w:t xml:space="preserve">have these changed from </w:t>
      </w:r>
      <w:r w:rsidR="001D4AF2">
        <w:t xml:space="preserve">EPC </w:t>
      </w:r>
      <w:r w:rsidR="00874E06">
        <w:t>to CSL (counseling/advising) instead.</w:t>
      </w:r>
    </w:p>
    <w:p w:rsidR="00874E06" w:rsidRDefault="00874E06" w:rsidP="00BA02C1">
      <w:pPr>
        <w:pStyle w:val="BodyText"/>
        <w:spacing w:before="0" w:after="0"/>
        <w:ind w:left="180"/>
      </w:pPr>
    </w:p>
    <w:p w:rsidR="00FF41B9" w:rsidRDefault="00874E06" w:rsidP="00EB0519">
      <w:pPr>
        <w:pStyle w:val="BodyText"/>
        <w:numPr>
          <w:ilvl w:val="0"/>
          <w:numId w:val="36"/>
        </w:numPr>
        <w:spacing w:before="0" w:after="0"/>
        <w:ind w:left="180" w:hanging="540"/>
        <w:rPr>
          <w:b/>
        </w:rPr>
      </w:pPr>
      <w:r>
        <w:rPr>
          <w:b/>
        </w:rPr>
        <w:t xml:space="preserve">SX02 Grade of ‘W’ prior to census date </w:t>
      </w:r>
      <w:r w:rsidRPr="00874E06">
        <w:rPr>
          <w:sz w:val="22"/>
          <w:szCs w:val="22"/>
        </w:rPr>
        <w:t>(HDO# 8146-74694)</w:t>
      </w:r>
    </w:p>
    <w:p w:rsidR="00EB0519" w:rsidRPr="00EB0519" w:rsidRDefault="00A63186" w:rsidP="00EB0519">
      <w:pPr>
        <w:pStyle w:val="BodyText"/>
        <w:spacing w:before="0" w:after="0"/>
        <w:ind w:left="180"/>
      </w:pPr>
      <w:r>
        <w:t xml:space="preserve">The committee was advised that the programming has been completed to modify the XRGD (Registration Dates Populate) process, and has been moved to User Liaison (UL) testing.  </w:t>
      </w:r>
      <w:bookmarkStart w:id="0" w:name="_GoBack"/>
      <w:bookmarkEnd w:id="0"/>
      <w:r>
        <w:t>This change has been targeted for a Fall 2015 implementation.</w:t>
      </w:r>
    </w:p>
    <w:p w:rsidR="00EB0519" w:rsidRDefault="00EB0519" w:rsidP="00EB0519">
      <w:pPr>
        <w:pStyle w:val="BodyText"/>
        <w:spacing w:before="0" w:after="0"/>
        <w:ind w:left="18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A63186" w:rsidP="004D2D82">
      <w:pPr>
        <w:pStyle w:val="BodyText"/>
        <w:spacing w:before="0" w:after="0"/>
        <w:ind w:left="180"/>
      </w:pPr>
      <w:r>
        <w:t>There were no other discussion items.</w:t>
      </w:r>
    </w:p>
    <w:p w:rsidR="00A63186" w:rsidRDefault="00A63186" w:rsidP="004D2D82">
      <w:pPr>
        <w:pStyle w:val="BodyText"/>
        <w:spacing w:before="0" w:after="0"/>
        <w:ind w:left="180"/>
      </w:pPr>
    </w:p>
    <w:p w:rsidR="00613AB3" w:rsidRDefault="00613AB3" w:rsidP="00E23E41">
      <w:pPr>
        <w:pStyle w:val="ListNumber"/>
        <w:numPr>
          <w:ilvl w:val="0"/>
          <w:numId w:val="0"/>
        </w:numPr>
        <w:spacing w:before="0" w:after="0"/>
        <w:rPr>
          <w:b w:val="0"/>
          <w:u w:val="none"/>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F27465">
        <w:rPr>
          <w:b w:val="0"/>
          <w:u w:val="none"/>
        </w:rPr>
        <w:t>9</w:t>
      </w:r>
      <w:r w:rsidRPr="00023A23">
        <w:rPr>
          <w:b w:val="0"/>
          <w:u w:val="none"/>
        </w:rPr>
        <w:t>:</w:t>
      </w:r>
      <w:r w:rsidR="00A63186">
        <w:rPr>
          <w:b w:val="0"/>
          <w:u w:val="none"/>
        </w:rPr>
        <w:t>42</w:t>
      </w:r>
      <w:r w:rsidR="00630892">
        <w:rPr>
          <w:b w:val="0"/>
          <w:u w:val="none"/>
        </w:rPr>
        <w:t xml:space="preserve">am.  </w:t>
      </w:r>
    </w:p>
    <w:p w:rsidR="00652563" w:rsidRDefault="00652563" w:rsidP="00E23E41">
      <w:pPr>
        <w:pStyle w:val="ListNumber"/>
        <w:numPr>
          <w:ilvl w:val="0"/>
          <w:numId w:val="0"/>
        </w:numPr>
        <w:spacing w:before="0" w:after="0"/>
        <w:rPr>
          <w:b w:val="0"/>
          <w:u w:val="none"/>
        </w:rPr>
      </w:pPr>
    </w:p>
    <w:p w:rsidR="00734E19" w:rsidRPr="00023A23" w:rsidRDefault="00465A7E" w:rsidP="0015024F">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A63186">
        <w:rPr>
          <w:b w:val="0"/>
          <w:u w:val="none"/>
        </w:rPr>
        <w:t>June 18</w:t>
      </w:r>
      <w:r w:rsidR="00A63186" w:rsidRPr="00A63186">
        <w:rPr>
          <w:b w:val="0"/>
          <w:u w:val="none"/>
          <w:vertAlign w:val="superscript"/>
        </w:rPr>
        <w:t>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734E19"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13" w:rsidRDefault="00504B13" w:rsidP="000C4126">
      <w:r>
        <w:separator/>
      </w:r>
    </w:p>
  </w:endnote>
  <w:endnote w:type="continuationSeparator" w:id="0">
    <w:p w:rsidR="00504B13" w:rsidRDefault="00504B13"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15024F">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15024F">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13" w:rsidRDefault="00504B13" w:rsidP="000C4126">
      <w:r>
        <w:separator/>
      </w:r>
    </w:p>
  </w:footnote>
  <w:footnote w:type="continuationSeparator" w:id="0">
    <w:p w:rsidR="00504B13" w:rsidRDefault="00504B13"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9F31C7">
      <w:t>June</w:t>
    </w:r>
    <w:r w:rsidR="003C222F">
      <w:t xml:space="preserve"> </w:t>
    </w:r>
    <w:r w:rsidR="009F31C7">
      <w:t>4</w:t>
    </w:r>
    <w:r w:rsidR="003C222F" w:rsidRPr="003C222F">
      <w:rPr>
        <w:vertAlign w:val="superscript"/>
      </w:rPr>
      <w:t>th</w:t>
    </w:r>
    <w:r>
      <w:t>, 201</w:t>
    </w:r>
    <w:r w:rsidR="00A8715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1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2"/>
  </w:num>
  <w:num w:numId="27">
    <w:abstractNumId w:val="22"/>
  </w:num>
  <w:num w:numId="28">
    <w:abstractNumId w:val="29"/>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7"/>
  </w:num>
  <w:num w:numId="34">
    <w:abstractNumId w:val="33"/>
  </w:num>
  <w:num w:numId="35">
    <w:abstractNumId w:val="17"/>
  </w:num>
  <w:num w:numId="36">
    <w:abstractNumId w:val="25"/>
  </w:num>
  <w:num w:numId="37">
    <w:abstractNumId w:val="30"/>
  </w:num>
  <w:num w:numId="38">
    <w:abstractNumId w:val="18"/>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6427B"/>
    <w:rsid w:val="0006530D"/>
    <w:rsid w:val="00072BCC"/>
    <w:rsid w:val="00083C38"/>
    <w:rsid w:val="00084639"/>
    <w:rsid w:val="00084748"/>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024F"/>
    <w:rsid w:val="0015180F"/>
    <w:rsid w:val="00157397"/>
    <w:rsid w:val="00157D30"/>
    <w:rsid w:val="00174EEA"/>
    <w:rsid w:val="00174F15"/>
    <w:rsid w:val="00180B6F"/>
    <w:rsid w:val="0018124B"/>
    <w:rsid w:val="00186A63"/>
    <w:rsid w:val="00193653"/>
    <w:rsid w:val="001A5859"/>
    <w:rsid w:val="001B0BE6"/>
    <w:rsid w:val="001B0E32"/>
    <w:rsid w:val="001D15B4"/>
    <w:rsid w:val="001D4AF2"/>
    <w:rsid w:val="001E7142"/>
    <w:rsid w:val="001F1945"/>
    <w:rsid w:val="001F1E7E"/>
    <w:rsid w:val="001F7227"/>
    <w:rsid w:val="001F7B6C"/>
    <w:rsid w:val="00203E02"/>
    <w:rsid w:val="00205A76"/>
    <w:rsid w:val="00205C86"/>
    <w:rsid w:val="002075DA"/>
    <w:rsid w:val="002107A9"/>
    <w:rsid w:val="0021707D"/>
    <w:rsid w:val="002205A0"/>
    <w:rsid w:val="002205F9"/>
    <w:rsid w:val="00226484"/>
    <w:rsid w:val="00235E37"/>
    <w:rsid w:val="0025412E"/>
    <w:rsid w:val="00256E84"/>
    <w:rsid w:val="00263F02"/>
    <w:rsid w:val="0026690E"/>
    <w:rsid w:val="00276FA1"/>
    <w:rsid w:val="002806D6"/>
    <w:rsid w:val="00291B4A"/>
    <w:rsid w:val="002A2608"/>
    <w:rsid w:val="002A72BE"/>
    <w:rsid w:val="002B44F3"/>
    <w:rsid w:val="002D3CEC"/>
    <w:rsid w:val="002D5748"/>
    <w:rsid w:val="002D7A55"/>
    <w:rsid w:val="002E549E"/>
    <w:rsid w:val="002E63F1"/>
    <w:rsid w:val="002F23F1"/>
    <w:rsid w:val="00306BF2"/>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3515"/>
    <w:rsid w:val="003B4731"/>
    <w:rsid w:val="003C222F"/>
    <w:rsid w:val="003C31EF"/>
    <w:rsid w:val="003C3600"/>
    <w:rsid w:val="003C4AFF"/>
    <w:rsid w:val="003D0D71"/>
    <w:rsid w:val="003D6761"/>
    <w:rsid w:val="003D77A3"/>
    <w:rsid w:val="003F3DFD"/>
    <w:rsid w:val="003F74DE"/>
    <w:rsid w:val="0040651C"/>
    <w:rsid w:val="00411F8B"/>
    <w:rsid w:val="00436E35"/>
    <w:rsid w:val="0043713A"/>
    <w:rsid w:val="00445093"/>
    <w:rsid w:val="00447A43"/>
    <w:rsid w:val="004518C8"/>
    <w:rsid w:val="0045263D"/>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19EA"/>
    <w:rsid w:val="004F2B87"/>
    <w:rsid w:val="004F5DA8"/>
    <w:rsid w:val="004F65BA"/>
    <w:rsid w:val="00503F10"/>
    <w:rsid w:val="00504B13"/>
    <w:rsid w:val="00504FBE"/>
    <w:rsid w:val="005063AC"/>
    <w:rsid w:val="005115C1"/>
    <w:rsid w:val="00515206"/>
    <w:rsid w:val="00533ADC"/>
    <w:rsid w:val="0053616C"/>
    <w:rsid w:val="005409FF"/>
    <w:rsid w:val="00540DDC"/>
    <w:rsid w:val="00543935"/>
    <w:rsid w:val="005444E8"/>
    <w:rsid w:val="0054752D"/>
    <w:rsid w:val="00554276"/>
    <w:rsid w:val="00561708"/>
    <w:rsid w:val="0058463C"/>
    <w:rsid w:val="005902A5"/>
    <w:rsid w:val="00591677"/>
    <w:rsid w:val="00592046"/>
    <w:rsid w:val="00592220"/>
    <w:rsid w:val="00595943"/>
    <w:rsid w:val="0059716A"/>
    <w:rsid w:val="00597910"/>
    <w:rsid w:val="005A2FC7"/>
    <w:rsid w:val="005A3E00"/>
    <w:rsid w:val="005A4E6E"/>
    <w:rsid w:val="005B0C4A"/>
    <w:rsid w:val="005C3413"/>
    <w:rsid w:val="005D4BB6"/>
    <w:rsid w:val="005E61D0"/>
    <w:rsid w:val="005F62B7"/>
    <w:rsid w:val="005F62EF"/>
    <w:rsid w:val="006057CA"/>
    <w:rsid w:val="00613AB3"/>
    <w:rsid w:val="00614D1C"/>
    <w:rsid w:val="0061650F"/>
    <w:rsid w:val="00616B41"/>
    <w:rsid w:val="00620AE8"/>
    <w:rsid w:val="00630892"/>
    <w:rsid w:val="00631B9C"/>
    <w:rsid w:val="00632238"/>
    <w:rsid w:val="00643A5E"/>
    <w:rsid w:val="0064628C"/>
    <w:rsid w:val="00647652"/>
    <w:rsid w:val="006500B7"/>
    <w:rsid w:val="00652563"/>
    <w:rsid w:val="00655EB8"/>
    <w:rsid w:val="0065717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A2C56"/>
    <w:rsid w:val="007B429D"/>
    <w:rsid w:val="007B4DF3"/>
    <w:rsid w:val="007B651A"/>
    <w:rsid w:val="007C1069"/>
    <w:rsid w:val="007C1D20"/>
    <w:rsid w:val="007C31C1"/>
    <w:rsid w:val="007C541F"/>
    <w:rsid w:val="007D2DDA"/>
    <w:rsid w:val="007D317E"/>
    <w:rsid w:val="007D5836"/>
    <w:rsid w:val="007E0B54"/>
    <w:rsid w:val="007E388D"/>
    <w:rsid w:val="007E4E44"/>
    <w:rsid w:val="007E6A01"/>
    <w:rsid w:val="007E6E8D"/>
    <w:rsid w:val="007F387E"/>
    <w:rsid w:val="00803C3F"/>
    <w:rsid w:val="00813059"/>
    <w:rsid w:val="008240DA"/>
    <w:rsid w:val="00831C85"/>
    <w:rsid w:val="008371D4"/>
    <w:rsid w:val="008373C8"/>
    <w:rsid w:val="008429E5"/>
    <w:rsid w:val="008445F7"/>
    <w:rsid w:val="0085247D"/>
    <w:rsid w:val="008559B5"/>
    <w:rsid w:val="00856C4B"/>
    <w:rsid w:val="00862725"/>
    <w:rsid w:val="00867EA4"/>
    <w:rsid w:val="00873429"/>
    <w:rsid w:val="00874D96"/>
    <w:rsid w:val="00874E06"/>
    <w:rsid w:val="00886D2B"/>
    <w:rsid w:val="00897D48"/>
    <w:rsid w:val="00897D88"/>
    <w:rsid w:val="008A5763"/>
    <w:rsid w:val="008A6DE1"/>
    <w:rsid w:val="008A7CCA"/>
    <w:rsid w:val="008B7322"/>
    <w:rsid w:val="008C310E"/>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31C7"/>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3216"/>
    <w:rsid w:val="00A54122"/>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D5893"/>
    <w:rsid w:val="00AE361F"/>
    <w:rsid w:val="00AF0F94"/>
    <w:rsid w:val="00AF2CBC"/>
    <w:rsid w:val="00AF5787"/>
    <w:rsid w:val="00B063B4"/>
    <w:rsid w:val="00B2294E"/>
    <w:rsid w:val="00B22B57"/>
    <w:rsid w:val="00B253D1"/>
    <w:rsid w:val="00B43253"/>
    <w:rsid w:val="00B435B5"/>
    <w:rsid w:val="00B4609E"/>
    <w:rsid w:val="00B64D9A"/>
    <w:rsid w:val="00B75CFC"/>
    <w:rsid w:val="00B809BE"/>
    <w:rsid w:val="00B81DAB"/>
    <w:rsid w:val="00B87C4D"/>
    <w:rsid w:val="00B90686"/>
    <w:rsid w:val="00BA02C1"/>
    <w:rsid w:val="00BB1384"/>
    <w:rsid w:val="00BC4CBC"/>
    <w:rsid w:val="00BD01E0"/>
    <w:rsid w:val="00BF7085"/>
    <w:rsid w:val="00BF76C4"/>
    <w:rsid w:val="00C02AD2"/>
    <w:rsid w:val="00C11A96"/>
    <w:rsid w:val="00C1643D"/>
    <w:rsid w:val="00C261A9"/>
    <w:rsid w:val="00C32E7B"/>
    <w:rsid w:val="00C34A23"/>
    <w:rsid w:val="00C43416"/>
    <w:rsid w:val="00C51F70"/>
    <w:rsid w:val="00C6451D"/>
    <w:rsid w:val="00C678A0"/>
    <w:rsid w:val="00C856F0"/>
    <w:rsid w:val="00C94CEE"/>
    <w:rsid w:val="00CC3E77"/>
    <w:rsid w:val="00CC4427"/>
    <w:rsid w:val="00CD0748"/>
    <w:rsid w:val="00CF3646"/>
    <w:rsid w:val="00CF4A2F"/>
    <w:rsid w:val="00D007EE"/>
    <w:rsid w:val="00D129FA"/>
    <w:rsid w:val="00D20843"/>
    <w:rsid w:val="00D2183E"/>
    <w:rsid w:val="00D21848"/>
    <w:rsid w:val="00D2738A"/>
    <w:rsid w:val="00D31AB7"/>
    <w:rsid w:val="00D4627F"/>
    <w:rsid w:val="00D46D18"/>
    <w:rsid w:val="00D65E62"/>
    <w:rsid w:val="00D80303"/>
    <w:rsid w:val="00D90468"/>
    <w:rsid w:val="00DA2769"/>
    <w:rsid w:val="00DB78B9"/>
    <w:rsid w:val="00DC3A4C"/>
    <w:rsid w:val="00DD05A5"/>
    <w:rsid w:val="00DD3946"/>
    <w:rsid w:val="00DF2868"/>
    <w:rsid w:val="00DF34A9"/>
    <w:rsid w:val="00DF70D4"/>
    <w:rsid w:val="00E148B8"/>
    <w:rsid w:val="00E15FD8"/>
    <w:rsid w:val="00E23E41"/>
    <w:rsid w:val="00E26B88"/>
    <w:rsid w:val="00E55405"/>
    <w:rsid w:val="00E61172"/>
    <w:rsid w:val="00E72B45"/>
    <w:rsid w:val="00E72C45"/>
    <w:rsid w:val="00E76D05"/>
    <w:rsid w:val="00E803B8"/>
    <w:rsid w:val="00EB0519"/>
    <w:rsid w:val="00EB097C"/>
    <w:rsid w:val="00EB2C65"/>
    <w:rsid w:val="00EB4AF7"/>
    <w:rsid w:val="00EC1C62"/>
    <w:rsid w:val="00EC5156"/>
    <w:rsid w:val="00ED6BEF"/>
    <w:rsid w:val="00EE2F6E"/>
    <w:rsid w:val="00EF39BE"/>
    <w:rsid w:val="00EF4B8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D411-7C26-49CF-B988-B22C6FC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297</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2015-06-04T17:36:00Z</dcterms:created>
  <dcterms:modified xsi:type="dcterms:W3CDTF">2015-06-04T22:35:00Z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