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margin" w:tblpY="1"/>
        <w:tblW w:w="13468" w:type="dxa"/>
        <w:tblLook w:val="04A0" w:firstRow="1" w:lastRow="0" w:firstColumn="1" w:lastColumn="0" w:noHBand="0" w:noVBand="1"/>
      </w:tblPr>
      <w:tblGrid>
        <w:gridCol w:w="797"/>
        <w:gridCol w:w="1535"/>
        <w:gridCol w:w="5523"/>
        <w:gridCol w:w="1432"/>
        <w:gridCol w:w="1248"/>
        <w:gridCol w:w="1050"/>
        <w:gridCol w:w="1883"/>
      </w:tblGrid>
      <w:tr w:rsidR="003F0B9D" w:rsidRPr="009C1222" w:rsidTr="00F927D9">
        <w:tc>
          <w:tcPr>
            <w:tcW w:w="797" w:type="dxa"/>
          </w:tcPr>
          <w:p w:rsidR="003F0B9D" w:rsidRPr="00F85CA9" w:rsidRDefault="003F0B9D" w:rsidP="00F85CA9">
            <w:pPr>
              <w:jc w:val="center"/>
              <w:rPr>
                <w:rFonts w:cstheme="minorHAnsi"/>
                <w:b/>
                <w:sz w:val="28"/>
                <w:szCs w:val="28"/>
              </w:rPr>
            </w:pPr>
            <w:bookmarkStart w:id="0" w:name="_GoBack"/>
            <w:bookmarkEnd w:id="0"/>
            <w:r w:rsidRPr="00F85CA9">
              <w:rPr>
                <w:rFonts w:cstheme="minorHAnsi"/>
                <w:b/>
                <w:sz w:val="28"/>
                <w:szCs w:val="28"/>
              </w:rPr>
              <w:t>Rank</w:t>
            </w:r>
          </w:p>
        </w:tc>
        <w:tc>
          <w:tcPr>
            <w:tcW w:w="1535" w:type="dxa"/>
          </w:tcPr>
          <w:p w:rsidR="003F0B9D" w:rsidRPr="00F85CA9" w:rsidRDefault="003F0B9D" w:rsidP="00F85CA9">
            <w:pPr>
              <w:rPr>
                <w:rFonts w:cstheme="minorHAnsi"/>
                <w:b/>
                <w:sz w:val="28"/>
                <w:szCs w:val="28"/>
              </w:rPr>
            </w:pPr>
            <w:r w:rsidRPr="00F85CA9">
              <w:rPr>
                <w:rFonts w:cstheme="minorHAnsi"/>
                <w:b/>
                <w:sz w:val="28"/>
                <w:szCs w:val="28"/>
              </w:rPr>
              <w:t>Project Title</w:t>
            </w:r>
          </w:p>
        </w:tc>
        <w:tc>
          <w:tcPr>
            <w:tcW w:w="5523" w:type="dxa"/>
          </w:tcPr>
          <w:p w:rsidR="003F0B9D" w:rsidRPr="00F85CA9" w:rsidRDefault="003F0B9D" w:rsidP="00F85CA9">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Internal</w:t>
            </w:r>
            <w:r w:rsidR="00F85CA9" w:rsidRPr="00F85CA9">
              <w:rPr>
                <w:rFonts w:cstheme="minorHAnsi"/>
                <w:b/>
                <w:sz w:val="28"/>
                <w:szCs w:val="28"/>
              </w:rPr>
              <w:t xml:space="preserve"> Projects</w:t>
            </w:r>
          </w:p>
        </w:tc>
        <w:tc>
          <w:tcPr>
            <w:tcW w:w="1432" w:type="dxa"/>
          </w:tcPr>
          <w:p w:rsidR="003F0B9D" w:rsidRPr="00F85CA9" w:rsidRDefault="0009110F" w:rsidP="00F85CA9">
            <w:pPr>
              <w:jc w:val="center"/>
              <w:rPr>
                <w:rFonts w:cstheme="minorHAnsi"/>
                <w:b/>
                <w:sz w:val="28"/>
                <w:szCs w:val="28"/>
              </w:rPr>
            </w:pPr>
            <w:r w:rsidRPr="00F85CA9">
              <w:rPr>
                <w:rFonts w:cstheme="minorHAnsi"/>
                <w:b/>
                <w:sz w:val="28"/>
                <w:szCs w:val="28"/>
              </w:rPr>
              <w:t>Assigned</w:t>
            </w:r>
          </w:p>
        </w:tc>
        <w:tc>
          <w:tcPr>
            <w:tcW w:w="1248" w:type="dxa"/>
          </w:tcPr>
          <w:p w:rsidR="003F0B9D" w:rsidRPr="00F85CA9" w:rsidRDefault="003F0B9D" w:rsidP="00F85CA9">
            <w:pPr>
              <w:jc w:val="center"/>
              <w:rPr>
                <w:rFonts w:cstheme="minorHAnsi"/>
                <w:b/>
                <w:sz w:val="28"/>
                <w:szCs w:val="28"/>
              </w:rPr>
            </w:pPr>
            <w:r w:rsidRPr="00F85CA9">
              <w:rPr>
                <w:rFonts w:cstheme="minorHAnsi"/>
                <w:b/>
                <w:sz w:val="28"/>
                <w:szCs w:val="28"/>
              </w:rPr>
              <w:t>Duration</w:t>
            </w:r>
          </w:p>
        </w:tc>
        <w:tc>
          <w:tcPr>
            <w:tcW w:w="1050" w:type="dxa"/>
          </w:tcPr>
          <w:p w:rsidR="003F0B9D" w:rsidRPr="00F85CA9" w:rsidRDefault="003F0B9D" w:rsidP="00F85CA9">
            <w:pPr>
              <w:jc w:val="center"/>
              <w:rPr>
                <w:rFonts w:cstheme="minorHAnsi"/>
                <w:b/>
                <w:sz w:val="28"/>
                <w:szCs w:val="28"/>
              </w:rPr>
            </w:pPr>
            <w:r w:rsidRPr="00F85CA9">
              <w:rPr>
                <w:rFonts w:cstheme="minorHAnsi"/>
                <w:b/>
                <w:sz w:val="28"/>
                <w:szCs w:val="28"/>
              </w:rPr>
              <w:t>Cost</w:t>
            </w:r>
          </w:p>
        </w:tc>
        <w:tc>
          <w:tcPr>
            <w:tcW w:w="1883" w:type="dxa"/>
          </w:tcPr>
          <w:p w:rsidR="003F0B9D" w:rsidRPr="00F85CA9" w:rsidRDefault="003F0B9D" w:rsidP="00F85CA9">
            <w:pPr>
              <w:jc w:val="center"/>
              <w:rPr>
                <w:rFonts w:cstheme="minorHAnsi"/>
                <w:b/>
                <w:sz w:val="28"/>
                <w:szCs w:val="28"/>
              </w:rPr>
            </w:pPr>
            <w:r w:rsidRPr="00F85CA9">
              <w:rPr>
                <w:rFonts w:cstheme="minorHAnsi"/>
                <w:b/>
                <w:sz w:val="28"/>
                <w:szCs w:val="28"/>
              </w:rPr>
              <w:t>Sponsor</w:t>
            </w:r>
          </w:p>
        </w:tc>
      </w:tr>
      <w:tr w:rsidR="008B5FA7" w:rsidRPr="009C1222" w:rsidTr="00F927D9">
        <w:tc>
          <w:tcPr>
            <w:tcW w:w="797" w:type="dxa"/>
          </w:tcPr>
          <w:p w:rsidR="008B5FA7" w:rsidRDefault="008B5FA7" w:rsidP="00F85CA9">
            <w:pPr>
              <w:jc w:val="center"/>
              <w:rPr>
                <w:rFonts w:cstheme="minorHAnsi"/>
                <w:b/>
              </w:rPr>
            </w:pPr>
            <w:r>
              <w:rPr>
                <w:rFonts w:cstheme="minorHAnsi"/>
                <w:b/>
              </w:rPr>
              <w:t>1</w:t>
            </w:r>
          </w:p>
        </w:tc>
        <w:tc>
          <w:tcPr>
            <w:tcW w:w="1535" w:type="dxa"/>
          </w:tcPr>
          <w:p w:rsidR="008B5FA7" w:rsidRPr="008B5FA7" w:rsidRDefault="008B5FA7" w:rsidP="00F85CA9">
            <w:pPr>
              <w:rPr>
                <w:rFonts w:cstheme="minorHAnsi"/>
              </w:rPr>
            </w:pPr>
            <w:r w:rsidRPr="008B5FA7">
              <w:rPr>
                <w:rFonts w:cstheme="minorHAnsi"/>
              </w:rPr>
              <w:t>Gray Screen Conversions</w:t>
            </w:r>
          </w:p>
        </w:tc>
        <w:tc>
          <w:tcPr>
            <w:tcW w:w="5523" w:type="dxa"/>
          </w:tcPr>
          <w:p w:rsidR="008B5FA7" w:rsidRDefault="008B5FA7" w:rsidP="00F85CA9">
            <w:pPr>
              <w:rPr>
                <w:rFonts w:cstheme="minorHAnsi"/>
              </w:rPr>
            </w:pPr>
            <w:r w:rsidRPr="001C0460">
              <w:rPr>
                <w:rFonts w:cstheme="minorHAnsi"/>
              </w:rPr>
              <w:t>This project is critical because SBCCD currently uses a legacy product (Desktop User Interface) that is no longer supported by the vendor.  In order to move to the current version (Web User Interface), we need to reprogram many of the current screens</w:t>
            </w:r>
            <w:r>
              <w:rPr>
                <w:rFonts w:cstheme="minorHAnsi"/>
              </w:rPr>
              <w:t xml:space="preserve"> and report scripts</w:t>
            </w:r>
            <w:r w:rsidRPr="001C0460">
              <w:rPr>
                <w:rFonts w:cstheme="minorHAnsi"/>
              </w:rPr>
              <w:t xml:space="preserve"> that users use daily to interact with Datatel to be compatible with Web UI.  Along with security and business continuity concerns with being on an unsupported platform, Web UI also provides new features and efficiencies that will help streamline the user experience.</w:t>
            </w:r>
          </w:p>
          <w:p w:rsidR="008B5FA7" w:rsidRPr="009C1222" w:rsidRDefault="008B5FA7" w:rsidP="00F85CA9">
            <w:pPr>
              <w:rPr>
                <w:rFonts w:cstheme="minorHAnsi"/>
                <w:b/>
              </w:rPr>
            </w:pPr>
          </w:p>
        </w:tc>
        <w:tc>
          <w:tcPr>
            <w:tcW w:w="1432" w:type="dxa"/>
          </w:tcPr>
          <w:p w:rsidR="008B5FA7" w:rsidRPr="009C1222" w:rsidRDefault="0009110F" w:rsidP="00F85CA9">
            <w:pPr>
              <w:jc w:val="center"/>
              <w:rPr>
                <w:rFonts w:cstheme="minorHAnsi"/>
                <w:b/>
              </w:rPr>
            </w:pPr>
            <w:r>
              <w:rPr>
                <w:rFonts w:cstheme="minorHAnsi"/>
              </w:rPr>
              <w:t>Admin Apps</w:t>
            </w:r>
          </w:p>
        </w:tc>
        <w:tc>
          <w:tcPr>
            <w:tcW w:w="1248" w:type="dxa"/>
          </w:tcPr>
          <w:p w:rsidR="008B5FA7" w:rsidRPr="008B5FA7" w:rsidRDefault="008B5FA7" w:rsidP="00F85CA9">
            <w:pPr>
              <w:jc w:val="center"/>
              <w:rPr>
                <w:rFonts w:cstheme="minorHAnsi"/>
              </w:rPr>
            </w:pPr>
            <w:r w:rsidRPr="008B5FA7">
              <w:rPr>
                <w:rFonts w:cstheme="minorHAnsi"/>
              </w:rPr>
              <w:t>Approx</w:t>
            </w:r>
            <w:r>
              <w:rPr>
                <w:rFonts w:cstheme="minorHAnsi"/>
              </w:rPr>
              <w:t>.</w:t>
            </w:r>
            <w:r w:rsidRPr="008B5FA7">
              <w:rPr>
                <w:rFonts w:cstheme="minorHAnsi"/>
              </w:rPr>
              <w:t xml:space="preserve"> 4 weeks per screen</w:t>
            </w:r>
          </w:p>
        </w:tc>
        <w:tc>
          <w:tcPr>
            <w:tcW w:w="1050" w:type="dxa"/>
          </w:tcPr>
          <w:p w:rsidR="008B5FA7" w:rsidRPr="008B5FA7" w:rsidRDefault="008B5FA7" w:rsidP="00F85CA9">
            <w:pPr>
              <w:jc w:val="center"/>
              <w:rPr>
                <w:rFonts w:cstheme="minorHAnsi"/>
              </w:rPr>
            </w:pPr>
            <w:r w:rsidRPr="008B5FA7">
              <w:rPr>
                <w:rFonts w:cstheme="minorHAnsi"/>
              </w:rPr>
              <w:t>Time and effort</w:t>
            </w:r>
          </w:p>
        </w:tc>
        <w:tc>
          <w:tcPr>
            <w:tcW w:w="1883" w:type="dxa"/>
          </w:tcPr>
          <w:p w:rsidR="008B5FA7" w:rsidRPr="008B5FA7" w:rsidRDefault="008B5FA7" w:rsidP="00F85CA9">
            <w:pPr>
              <w:jc w:val="center"/>
              <w:rPr>
                <w:rFonts w:cstheme="minorHAnsi"/>
              </w:rPr>
            </w:pPr>
            <w:r w:rsidRPr="008B5FA7">
              <w:rPr>
                <w:rFonts w:cstheme="minorHAnsi"/>
              </w:rPr>
              <w:t>Andy Chang/Glen Kuck</w:t>
            </w:r>
          </w:p>
        </w:tc>
      </w:tr>
      <w:tr w:rsidR="00F927D9" w:rsidRPr="009C1222" w:rsidTr="00F927D9">
        <w:tc>
          <w:tcPr>
            <w:tcW w:w="797" w:type="dxa"/>
          </w:tcPr>
          <w:p w:rsidR="00F927D9" w:rsidRDefault="00F927D9" w:rsidP="00F927D9">
            <w:pPr>
              <w:jc w:val="center"/>
              <w:rPr>
                <w:rFonts w:cstheme="minorHAnsi"/>
                <w:b/>
              </w:rPr>
            </w:pPr>
            <w:r>
              <w:rPr>
                <w:rFonts w:cstheme="minorHAnsi"/>
                <w:b/>
              </w:rPr>
              <w:t>2</w:t>
            </w:r>
          </w:p>
        </w:tc>
        <w:tc>
          <w:tcPr>
            <w:tcW w:w="1535" w:type="dxa"/>
          </w:tcPr>
          <w:p w:rsidR="00F927D9" w:rsidRPr="009C1222" w:rsidRDefault="00F927D9" w:rsidP="00F927D9">
            <w:pPr>
              <w:rPr>
                <w:rFonts w:cstheme="minorHAnsi"/>
                <w:color w:val="000000" w:themeColor="text1"/>
              </w:rPr>
            </w:pPr>
            <w:r>
              <w:rPr>
                <w:rFonts w:cstheme="minorHAnsi"/>
                <w:color w:val="000000" w:themeColor="text1"/>
              </w:rPr>
              <w:t>Automation of Pre-requisite and Co-Requisite Drops</w:t>
            </w:r>
          </w:p>
          <w:p w:rsidR="00F927D9" w:rsidRDefault="00F927D9" w:rsidP="00F927D9">
            <w:pPr>
              <w:jc w:val="both"/>
              <w:rPr>
                <w:rFonts w:cstheme="minorHAnsi"/>
                <w:color w:val="000000" w:themeColor="text1"/>
              </w:rPr>
            </w:pPr>
          </w:p>
        </w:tc>
        <w:tc>
          <w:tcPr>
            <w:tcW w:w="5523" w:type="dxa"/>
          </w:tcPr>
          <w:p w:rsidR="00F927D9" w:rsidRDefault="00F927D9" w:rsidP="00F927D9">
            <w:pPr>
              <w:rPr>
                <w:rFonts w:cstheme="minorHAnsi"/>
              </w:rPr>
            </w:pPr>
            <w:r w:rsidRPr="0057730C">
              <w:rPr>
                <w:rFonts w:cstheme="minorHAnsi"/>
              </w:rPr>
              <w:t xml:space="preserve">Currently a student who is taking a course that is a pre-requisite for another course is allowed to register for that other course while taking the pre-requisite.  If a student does not pass the pre-requisite course, the unsuccessful student is marked in the system with an asterisk.  The change requested is instead of the asterisk, the student is automatically dropped from within Datatel.  According to the project requestor, if this request is not met, the earth will cease to rotate on its axis and we will all either freeze or burn to death.  </w:t>
            </w:r>
          </w:p>
          <w:p w:rsidR="00F927D9" w:rsidRPr="009C1222" w:rsidRDefault="00F927D9" w:rsidP="00F927D9">
            <w:pPr>
              <w:rPr>
                <w:rFonts w:cstheme="minorHAnsi"/>
              </w:rPr>
            </w:pPr>
          </w:p>
        </w:tc>
        <w:tc>
          <w:tcPr>
            <w:tcW w:w="1432" w:type="dxa"/>
          </w:tcPr>
          <w:p w:rsidR="00F927D9" w:rsidRDefault="00F927D9" w:rsidP="00F927D9">
            <w:pPr>
              <w:rPr>
                <w:rFonts w:cstheme="minorHAnsi"/>
              </w:rPr>
            </w:pPr>
            <w:r>
              <w:rPr>
                <w:rFonts w:cstheme="minorHAnsi"/>
              </w:rPr>
              <w:t>Joyce Bond</w:t>
            </w:r>
          </w:p>
        </w:tc>
        <w:tc>
          <w:tcPr>
            <w:tcW w:w="1248" w:type="dxa"/>
          </w:tcPr>
          <w:p w:rsidR="00F927D9" w:rsidRDefault="00F927D9" w:rsidP="00F927D9">
            <w:pPr>
              <w:rPr>
                <w:rFonts w:cstheme="minorHAnsi"/>
              </w:rPr>
            </w:pPr>
            <w:r>
              <w:rPr>
                <w:rFonts w:cstheme="minorHAnsi"/>
              </w:rPr>
              <w:t>55 Hours</w:t>
            </w:r>
          </w:p>
        </w:tc>
        <w:tc>
          <w:tcPr>
            <w:tcW w:w="1050" w:type="dxa"/>
          </w:tcPr>
          <w:p w:rsidR="00F927D9" w:rsidRDefault="00F927D9" w:rsidP="00F927D9">
            <w:pPr>
              <w:rPr>
                <w:rFonts w:cstheme="minorHAnsi"/>
              </w:rPr>
            </w:pPr>
            <w:r>
              <w:rPr>
                <w:rFonts w:cstheme="minorHAnsi"/>
              </w:rPr>
              <w:t>Time and effort</w:t>
            </w:r>
          </w:p>
          <w:p w:rsidR="00F927D9" w:rsidRPr="009C1222" w:rsidRDefault="00F927D9" w:rsidP="00F927D9">
            <w:pPr>
              <w:tabs>
                <w:tab w:val="left" w:pos="320"/>
              </w:tabs>
              <w:rPr>
                <w:rFonts w:cstheme="minorHAnsi"/>
              </w:rPr>
            </w:pPr>
          </w:p>
        </w:tc>
        <w:tc>
          <w:tcPr>
            <w:tcW w:w="1883" w:type="dxa"/>
          </w:tcPr>
          <w:p w:rsidR="00F927D9" w:rsidRDefault="00F927D9" w:rsidP="00F927D9">
            <w:pPr>
              <w:rPr>
                <w:rFonts w:cstheme="minorHAnsi"/>
              </w:rPr>
            </w:pPr>
            <w:r>
              <w:rPr>
                <w:rFonts w:cstheme="minorHAnsi"/>
              </w:rPr>
              <w:t>Jeremiah Gilbert/Glen Kuck</w:t>
            </w:r>
          </w:p>
        </w:tc>
      </w:tr>
      <w:tr w:rsidR="00F927D9" w:rsidRPr="009C1222" w:rsidTr="00F927D9">
        <w:tc>
          <w:tcPr>
            <w:tcW w:w="797" w:type="dxa"/>
          </w:tcPr>
          <w:p w:rsidR="00F927D9" w:rsidRPr="009C1222" w:rsidRDefault="00F927D9" w:rsidP="00F927D9">
            <w:pPr>
              <w:jc w:val="center"/>
              <w:rPr>
                <w:rFonts w:cstheme="minorHAnsi"/>
                <w:b/>
              </w:rPr>
            </w:pPr>
            <w:r>
              <w:rPr>
                <w:rFonts w:cstheme="minorHAnsi"/>
                <w:b/>
              </w:rPr>
              <w:t>3</w:t>
            </w:r>
          </w:p>
        </w:tc>
        <w:tc>
          <w:tcPr>
            <w:tcW w:w="1535" w:type="dxa"/>
          </w:tcPr>
          <w:p w:rsidR="00F927D9" w:rsidRDefault="00F927D9" w:rsidP="00F927D9">
            <w:pPr>
              <w:jc w:val="both"/>
              <w:rPr>
                <w:rFonts w:cstheme="minorHAnsi"/>
                <w:color w:val="000000" w:themeColor="text1"/>
              </w:rPr>
            </w:pPr>
            <w:r>
              <w:rPr>
                <w:rFonts w:cstheme="minorHAnsi"/>
                <w:color w:val="000000" w:themeColor="text1"/>
              </w:rPr>
              <w:t>Processing Scholarship Checks</w:t>
            </w:r>
          </w:p>
          <w:p w:rsidR="00F927D9" w:rsidRPr="009C1222" w:rsidRDefault="00F927D9" w:rsidP="00F927D9">
            <w:pPr>
              <w:jc w:val="both"/>
              <w:rPr>
                <w:rFonts w:cstheme="minorHAnsi"/>
                <w:color w:val="000000" w:themeColor="text1"/>
              </w:rPr>
            </w:pPr>
            <w:r>
              <w:rPr>
                <w:rFonts w:cstheme="minorHAnsi"/>
                <w:color w:val="000000" w:themeColor="text1"/>
              </w:rPr>
              <w:t>via Colleague</w:t>
            </w:r>
          </w:p>
          <w:p w:rsidR="00F927D9" w:rsidRPr="009C1222" w:rsidRDefault="00F927D9" w:rsidP="00F927D9">
            <w:pPr>
              <w:rPr>
                <w:rFonts w:cstheme="minorHAnsi"/>
              </w:rPr>
            </w:pPr>
          </w:p>
        </w:tc>
        <w:tc>
          <w:tcPr>
            <w:tcW w:w="5523" w:type="dxa"/>
          </w:tcPr>
          <w:p w:rsidR="00F927D9" w:rsidRDefault="00F927D9" w:rsidP="00F927D9">
            <w:pPr>
              <w:rPr>
                <w:rFonts w:cstheme="minorHAnsi"/>
              </w:rPr>
            </w:pPr>
            <w:r w:rsidRPr="00057317">
              <w:rPr>
                <w:rFonts w:cstheme="minorHAnsi"/>
              </w:rPr>
              <w:t xml:space="preserve">IRS Guidelines require SBCCD to report scholarship and grant disbursements.  Currently the process is to manually update student records in Datatel to include scholarship disbursements.  Project will automate this data entry process as well as allow staff to review scholarship disbursement information from a </w:t>
            </w:r>
          </w:p>
          <w:p w:rsidR="00F927D9" w:rsidRDefault="00F927D9" w:rsidP="00F927D9">
            <w:pPr>
              <w:rPr>
                <w:rFonts w:cstheme="minorHAnsi"/>
              </w:rPr>
            </w:pPr>
            <w:r w:rsidRPr="00057317">
              <w:rPr>
                <w:rFonts w:cstheme="minorHAnsi"/>
              </w:rPr>
              <w:t>central source.  Currently using an Excel document for calculations and record keeping.</w:t>
            </w:r>
          </w:p>
          <w:p w:rsidR="00F927D9" w:rsidRPr="009C1222" w:rsidRDefault="00F927D9" w:rsidP="00F927D9">
            <w:pPr>
              <w:rPr>
                <w:rFonts w:cstheme="minorHAnsi"/>
              </w:rPr>
            </w:pPr>
          </w:p>
        </w:tc>
        <w:tc>
          <w:tcPr>
            <w:tcW w:w="1432" w:type="dxa"/>
          </w:tcPr>
          <w:p w:rsidR="00F927D9" w:rsidRPr="009C1222" w:rsidRDefault="00F927D9" w:rsidP="00F927D9">
            <w:pPr>
              <w:rPr>
                <w:rFonts w:cstheme="minorHAnsi"/>
              </w:rPr>
            </w:pPr>
            <w:r>
              <w:rPr>
                <w:rFonts w:cstheme="minorHAnsi"/>
              </w:rPr>
              <w:t>Unassigned</w:t>
            </w:r>
          </w:p>
        </w:tc>
        <w:tc>
          <w:tcPr>
            <w:tcW w:w="1248" w:type="dxa"/>
          </w:tcPr>
          <w:p w:rsidR="00F927D9" w:rsidRPr="009C1222" w:rsidRDefault="00F927D9" w:rsidP="00F927D9">
            <w:pPr>
              <w:rPr>
                <w:rFonts w:cstheme="minorHAnsi"/>
              </w:rPr>
            </w:pPr>
            <w:r>
              <w:rPr>
                <w:rFonts w:cstheme="minorHAnsi"/>
              </w:rPr>
              <w:t>80 hours</w:t>
            </w:r>
          </w:p>
        </w:tc>
        <w:tc>
          <w:tcPr>
            <w:tcW w:w="1050" w:type="dxa"/>
          </w:tcPr>
          <w:p w:rsidR="00F927D9" w:rsidRPr="009C1222" w:rsidRDefault="00F927D9" w:rsidP="00F927D9">
            <w:pPr>
              <w:rPr>
                <w:rFonts w:cstheme="minorHAnsi"/>
              </w:rPr>
            </w:pPr>
            <w:r>
              <w:rPr>
                <w:rFonts w:cstheme="minorHAnsi"/>
              </w:rPr>
              <w:t>Time and materials</w:t>
            </w:r>
          </w:p>
        </w:tc>
        <w:tc>
          <w:tcPr>
            <w:tcW w:w="1883" w:type="dxa"/>
          </w:tcPr>
          <w:p w:rsidR="00F927D9" w:rsidRPr="009C1222" w:rsidRDefault="00F927D9" w:rsidP="00F927D9">
            <w:pPr>
              <w:rPr>
                <w:rFonts w:cstheme="minorHAnsi"/>
              </w:rPr>
            </w:pPr>
            <w:r>
              <w:rPr>
                <w:rFonts w:cstheme="minorHAnsi"/>
              </w:rPr>
              <w:t>Noemi Elizade/Steve Sutorus</w:t>
            </w:r>
          </w:p>
        </w:tc>
      </w:tr>
    </w:tbl>
    <w:p w:rsidR="00BE6A32" w:rsidRDefault="00BE6A32">
      <w:pPr>
        <w:rPr>
          <w:rFonts w:cstheme="minorHAnsi"/>
        </w:rPr>
      </w:pPr>
    </w:p>
    <w:p w:rsidR="00BE6A32" w:rsidRDefault="00BE6A32">
      <w:pPr>
        <w:rPr>
          <w:rFonts w:cstheme="minorHAnsi"/>
        </w:rPr>
      </w:pPr>
    </w:p>
    <w:p w:rsidR="008B5FA7" w:rsidRDefault="008B5FA7">
      <w:pPr>
        <w:rPr>
          <w:rFonts w:cstheme="minorHAnsi"/>
          <w:b/>
          <w:sz w:val="28"/>
          <w:u w:val="single"/>
        </w:rPr>
      </w:pPr>
    </w:p>
    <w:p w:rsidR="00EC21FC" w:rsidRDefault="00EC21FC">
      <w:pPr>
        <w:rPr>
          <w:rFonts w:cstheme="minorHAnsi"/>
          <w:b/>
          <w:sz w:val="28"/>
          <w:u w:val="single"/>
        </w:rPr>
      </w:pPr>
    </w:p>
    <w:p w:rsidR="00EC21FC" w:rsidRDefault="00EC21FC">
      <w:pPr>
        <w:rPr>
          <w:rFonts w:cstheme="minorHAnsi"/>
          <w:b/>
          <w:sz w:val="28"/>
          <w:u w:val="single"/>
        </w:rPr>
      </w:pPr>
    </w:p>
    <w:p w:rsidR="00EC21FC" w:rsidRDefault="00EC21FC">
      <w:pPr>
        <w:rPr>
          <w:rFonts w:cstheme="minorHAnsi"/>
          <w:b/>
          <w:sz w:val="28"/>
          <w:u w:val="single"/>
        </w:rPr>
      </w:pPr>
    </w:p>
    <w:p w:rsidR="00BE6A32" w:rsidRDefault="00BE6A32">
      <w:pPr>
        <w:rPr>
          <w:rFonts w:cstheme="minorHAnsi"/>
        </w:rPr>
      </w:pPr>
    </w:p>
    <w:tbl>
      <w:tblPr>
        <w:tblStyle w:val="TableGrid"/>
        <w:tblW w:w="13438" w:type="dxa"/>
        <w:tblInd w:w="-792" w:type="dxa"/>
        <w:tblLook w:val="04A0" w:firstRow="1" w:lastRow="0" w:firstColumn="1" w:lastColumn="0" w:noHBand="0" w:noVBand="1"/>
      </w:tblPr>
      <w:tblGrid>
        <w:gridCol w:w="797"/>
        <w:gridCol w:w="1522"/>
        <w:gridCol w:w="5624"/>
        <w:gridCol w:w="1253"/>
        <w:gridCol w:w="1248"/>
        <w:gridCol w:w="1052"/>
        <w:gridCol w:w="1942"/>
      </w:tblGrid>
      <w:tr w:rsidR="003F0B9D" w:rsidRPr="009C1222" w:rsidTr="00A5251D">
        <w:tc>
          <w:tcPr>
            <w:tcW w:w="797" w:type="dxa"/>
          </w:tcPr>
          <w:p w:rsidR="003F0B9D" w:rsidRPr="00F85CA9" w:rsidRDefault="003F0B9D" w:rsidP="00B70ACC">
            <w:pPr>
              <w:jc w:val="center"/>
              <w:rPr>
                <w:rFonts w:cstheme="minorHAnsi"/>
                <w:b/>
                <w:sz w:val="28"/>
                <w:szCs w:val="28"/>
              </w:rPr>
            </w:pPr>
            <w:r w:rsidRPr="00F85CA9">
              <w:rPr>
                <w:rFonts w:cstheme="minorHAnsi"/>
                <w:b/>
                <w:sz w:val="28"/>
                <w:szCs w:val="28"/>
              </w:rPr>
              <w:t>Rank</w:t>
            </w:r>
          </w:p>
        </w:tc>
        <w:tc>
          <w:tcPr>
            <w:tcW w:w="1522" w:type="dxa"/>
          </w:tcPr>
          <w:p w:rsidR="003F0B9D" w:rsidRPr="00F85CA9" w:rsidRDefault="003F0B9D" w:rsidP="00B70ACC">
            <w:pPr>
              <w:rPr>
                <w:rFonts w:cstheme="minorHAnsi"/>
                <w:b/>
                <w:sz w:val="28"/>
                <w:szCs w:val="28"/>
              </w:rPr>
            </w:pPr>
            <w:r w:rsidRPr="00F85CA9">
              <w:rPr>
                <w:rFonts w:cstheme="minorHAnsi"/>
                <w:b/>
                <w:sz w:val="28"/>
                <w:szCs w:val="28"/>
              </w:rPr>
              <w:t>Project Title</w:t>
            </w:r>
          </w:p>
        </w:tc>
        <w:tc>
          <w:tcPr>
            <w:tcW w:w="5624" w:type="dxa"/>
          </w:tcPr>
          <w:p w:rsidR="003F0B9D" w:rsidRPr="00F85CA9" w:rsidRDefault="003F0B9D" w:rsidP="00B70ACC">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Vendor</w:t>
            </w:r>
            <w:r w:rsidR="00F85CA9" w:rsidRPr="00F85CA9">
              <w:rPr>
                <w:rFonts w:cstheme="minorHAnsi"/>
                <w:b/>
                <w:sz w:val="28"/>
                <w:szCs w:val="28"/>
              </w:rPr>
              <w:t xml:space="preserve"> Projects</w:t>
            </w:r>
          </w:p>
        </w:tc>
        <w:tc>
          <w:tcPr>
            <w:tcW w:w="1253" w:type="dxa"/>
          </w:tcPr>
          <w:p w:rsidR="003F0B9D" w:rsidRPr="00F85CA9" w:rsidRDefault="0009110F" w:rsidP="00B70ACC">
            <w:pPr>
              <w:jc w:val="center"/>
              <w:rPr>
                <w:rFonts w:cstheme="minorHAnsi"/>
                <w:b/>
                <w:sz w:val="28"/>
                <w:szCs w:val="28"/>
              </w:rPr>
            </w:pPr>
            <w:r w:rsidRPr="00F85CA9">
              <w:rPr>
                <w:rFonts w:cstheme="minorHAnsi"/>
                <w:b/>
                <w:sz w:val="28"/>
                <w:szCs w:val="28"/>
              </w:rPr>
              <w:t>Assigned</w:t>
            </w:r>
          </w:p>
        </w:tc>
        <w:tc>
          <w:tcPr>
            <w:tcW w:w="1248" w:type="dxa"/>
          </w:tcPr>
          <w:p w:rsidR="003F0B9D" w:rsidRPr="00F85CA9" w:rsidRDefault="003F0B9D" w:rsidP="00B70ACC">
            <w:pPr>
              <w:jc w:val="center"/>
              <w:rPr>
                <w:rFonts w:cstheme="minorHAnsi"/>
                <w:b/>
                <w:sz w:val="28"/>
                <w:szCs w:val="28"/>
              </w:rPr>
            </w:pPr>
            <w:r w:rsidRPr="00F85CA9">
              <w:rPr>
                <w:rFonts w:cstheme="minorHAnsi"/>
                <w:b/>
                <w:sz w:val="28"/>
                <w:szCs w:val="28"/>
              </w:rPr>
              <w:t>Duration</w:t>
            </w:r>
          </w:p>
        </w:tc>
        <w:tc>
          <w:tcPr>
            <w:tcW w:w="1052" w:type="dxa"/>
          </w:tcPr>
          <w:p w:rsidR="003F0B9D" w:rsidRPr="00F85CA9" w:rsidRDefault="003F0B9D" w:rsidP="00B70ACC">
            <w:pPr>
              <w:jc w:val="center"/>
              <w:rPr>
                <w:rFonts w:cstheme="minorHAnsi"/>
                <w:b/>
                <w:sz w:val="28"/>
                <w:szCs w:val="28"/>
              </w:rPr>
            </w:pPr>
            <w:r w:rsidRPr="00F85CA9">
              <w:rPr>
                <w:rFonts w:cstheme="minorHAnsi"/>
                <w:b/>
                <w:sz w:val="28"/>
                <w:szCs w:val="28"/>
              </w:rPr>
              <w:t>Cost</w:t>
            </w:r>
          </w:p>
        </w:tc>
        <w:tc>
          <w:tcPr>
            <w:tcW w:w="1942" w:type="dxa"/>
          </w:tcPr>
          <w:p w:rsidR="003F0B9D" w:rsidRPr="00F85CA9" w:rsidRDefault="003F0B9D" w:rsidP="00B70ACC">
            <w:pPr>
              <w:jc w:val="center"/>
              <w:rPr>
                <w:rFonts w:cstheme="minorHAnsi"/>
                <w:b/>
                <w:sz w:val="28"/>
                <w:szCs w:val="28"/>
              </w:rPr>
            </w:pPr>
            <w:r w:rsidRPr="00F85CA9">
              <w:rPr>
                <w:rFonts w:cstheme="minorHAnsi"/>
                <w:b/>
                <w:sz w:val="28"/>
                <w:szCs w:val="28"/>
              </w:rPr>
              <w:t>Sponsor</w:t>
            </w:r>
          </w:p>
        </w:tc>
      </w:tr>
      <w:tr w:rsidR="003F0B9D" w:rsidRPr="009C1222" w:rsidTr="00A5251D">
        <w:tc>
          <w:tcPr>
            <w:tcW w:w="797" w:type="dxa"/>
          </w:tcPr>
          <w:p w:rsidR="003F0B9D" w:rsidRPr="009C1222" w:rsidRDefault="00F52585" w:rsidP="00BE6A32">
            <w:pPr>
              <w:jc w:val="center"/>
              <w:rPr>
                <w:rFonts w:cstheme="minorHAnsi"/>
                <w:b/>
              </w:rPr>
            </w:pPr>
            <w:r>
              <w:rPr>
                <w:rFonts w:cstheme="minorHAnsi"/>
                <w:b/>
              </w:rPr>
              <w:t>1</w:t>
            </w:r>
          </w:p>
        </w:tc>
        <w:tc>
          <w:tcPr>
            <w:tcW w:w="1522" w:type="dxa"/>
          </w:tcPr>
          <w:p w:rsidR="003F0B9D" w:rsidRPr="009C1222" w:rsidRDefault="003F0B9D" w:rsidP="00BE6A32">
            <w:pPr>
              <w:rPr>
                <w:rFonts w:cstheme="minorHAnsi"/>
                <w:color w:val="000000" w:themeColor="text1"/>
              </w:rPr>
            </w:pPr>
            <w:r>
              <w:rPr>
                <w:rFonts w:cstheme="minorHAnsi"/>
                <w:color w:val="000000" w:themeColor="text1"/>
              </w:rPr>
              <w:t>EPTDAS</w:t>
            </w:r>
          </w:p>
          <w:p w:rsidR="003F0B9D" w:rsidRPr="009C1222" w:rsidRDefault="003F0B9D" w:rsidP="00BE6A32">
            <w:pPr>
              <w:rPr>
                <w:rFonts w:cstheme="minorHAnsi"/>
              </w:rPr>
            </w:pPr>
          </w:p>
        </w:tc>
        <w:tc>
          <w:tcPr>
            <w:tcW w:w="5624" w:type="dxa"/>
          </w:tcPr>
          <w:p w:rsidR="003F0B9D" w:rsidRDefault="003F0B9D" w:rsidP="00BE6A32">
            <w:pPr>
              <w:rPr>
                <w:rFonts w:cstheme="minorHAnsi"/>
              </w:rPr>
            </w:pPr>
            <w:r>
              <w:rPr>
                <w:rFonts w:cstheme="minorHAnsi"/>
              </w:rPr>
              <w:t xml:space="preserve">This project request comes from CHC as they signed on to be a pilot college for the CCCCO’s Education Planning and Degree audit initiative.  This initiative creates a centralized platform that all 112 CCC’s can eventually make use of that encompasses Degree Audit, Ed Planning, Early Alert and Connect.  </w:t>
            </w:r>
          </w:p>
          <w:p w:rsidR="003F0B9D" w:rsidRDefault="003F0B9D" w:rsidP="00BE6A32">
            <w:pPr>
              <w:rPr>
                <w:rFonts w:cstheme="minorHAnsi"/>
              </w:rPr>
            </w:pPr>
          </w:p>
          <w:p w:rsidR="003F0B9D" w:rsidRPr="009C1222" w:rsidRDefault="003F0B9D" w:rsidP="00364BCD">
            <w:pPr>
              <w:rPr>
                <w:rFonts w:cstheme="minorHAnsi"/>
              </w:rPr>
            </w:pPr>
          </w:p>
        </w:tc>
        <w:tc>
          <w:tcPr>
            <w:tcW w:w="1253" w:type="dxa"/>
          </w:tcPr>
          <w:p w:rsidR="003F0B9D" w:rsidRPr="009C1222" w:rsidRDefault="0009110F" w:rsidP="00BE6A32">
            <w:pPr>
              <w:rPr>
                <w:rFonts w:cstheme="minorHAnsi"/>
              </w:rPr>
            </w:pPr>
            <w:r>
              <w:rPr>
                <w:rFonts w:cstheme="minorHAnsi"/>
              </w:rPr>
              <w:t>Michael Aquino</w:t>
            </w:r>
          </w:p>
        </w:tc>
        <w:tc>
          <w:tcPr>
            <w:tcW w:w="1248" w:type="dxa"/>
          </w:tcPr>
          <w:p w:rsidR="003F0B9D" w:rsidRPr="009C1222" w:rsidRDefault="003F0B9D" w:rsidP="00BE6A32">
            <w:pPr>
              <w:rPr>
                <w:rFonts w:cstheme="minorHAnsi"/>
              </w:rPr>
            </w:pPr>
            <w:r>
              <w:rPr>
                <w:rFonts w:cstheme="minorHAnsi"/>
              </w:rPr>
              <w:t>12-13 months (vendor and local staff time)</w:t>
            </w:r>
          </w:p>
        </w:tc>
        <w:tc>
          <w:tcPr>
            <w:tcW w:w="1052" w:type="dxa"/>
          </w:tcPr>
          <w:p w:rsidR="003F0B9D" w:rsidRPr="009C1222" w:rsidRDefault="003F0B9D" w:rsidP="00BE6A32">
            <w:pPr>
              <w:rPr>
                <w:rFonts w:cstheme="minorHAnsi"/>
              </w:rPr>
            </w:pPr>
            <w:r>
              <w:rPr>
                <w:rFonts w:cstheme="minorHAnsi"/>
              </w:rPr>
              <w:t>Either grant funded or locally funded by CHC</w:t>
            </w:r>
          </w:p>
        </w:tc>
        <w:tc>
          <w:tcPr>
            <w:tcW w:w="1942" w:type="dxa"/>
          </w:tcPr>
          <w:p w:rsidR="003F0B9D" w:rsidRPr="009C1222" w:rsidRDefault="003F0B9D" w:rsidP="00BE6A32">
            <w:pPr>
              <w:rPr>
                <w:rFonts w:cstheme="minorHAnsi"/>
              </w:rPr>
            </w:pPr>
            <w:r>
              <w:rPr>
                <w:rFonts w:cstheme="minorHAnsi"/>
              </w:rPr>
              <w:t>Benjamin Mudgett/Rebeccah Warren-Marlatt</w:t>
            </w:r>
          </w:p>
        </w:tc>
      </w:tr>
      <w:tr w:rsidR="0009110F" w:rsidRPr="009C1222" w:rsidTr="00A5251D">
        <w:tc>
          <w:tcPr>
            <w:tcW w:w="797" w:type="dxa"/>
          </w:tcPr>
          <w:p w:rsidR="0009110F" w:rsidRDefault="0009110F" w:rsidP="00BE6A32">
            <w:pPr>
              <w:jc w:val="center"/>
              <w:rPr>
                <w:rFonts w:cstheme="minorHAnsi"/>
                <w:b/>
              </w:rPr>
            </w:pPr>
            <w:r>
              <w:rPr>
                <w:rFonts w:cstheme="minorHAnsi"/>
                <w:b/>
              </w:rPr>
              <w:t>1a</w:t>
            </w:r>
          </w:p>
        </w:tc>
        <w:tc>
          <w:tcPr>
            <w:tcW w:w="1522" w:type="dxa"/>
          </w:tcPr>
          <w:p w:rsidR="0009110F" w:rsidRDefault="0009110F" w:rsidP="00BE6A32">
            <w:pPr>
              <w:rPr>
                <w:rFonts w:cstheme="minorHAnsi"/>
                <w:color w:val="000000" w:themeColor="text1"/>
              </w:rPr>
            </w:pPr>
            <w:r>
              <w:rPr>
                <w:rFonts w:cstheme="minorHAnsi"/>
                <w:color w:val="000000" w:themeColor="text1"/>
              </w:rPr>
              <w:t>Financial Aid</w:t>
            </w:r>
          </w:p>
        </w:tc>
        <w:tc>
          <w:tcPr>
            <w:tcW w:w="5624" w:type="dxa"/>
          </w:tcPr>
          <w:p w:rsidR="0009110F" w:rsidRDefault="000E4200" w:rsidP="00BE6A32">
            <w:r>
              <w:t>This project is an emergency project to fix processes and data so that Financial Aid applications can be processed in a timely manner. Also included in this project is the review of the Financial Aid MIS reporting processes, the implementation of a Financial Aid self-service portal, as well as customizations to allow FA to self-submit COD.</w:t>
            </w:r>
          </w:p>
          <w:p w:rsidR="000E4200" w:rsidRDefault="000E4200" w:rsidP="00BE6A32">
            <w:pPr>
              <w:rPr>
                <w:rFonts w:cstheme="minorHAnsi"/>
              </w:rPr>
            </w:pPr>
          </w:p>
        </w:tc>
        <w:tc>
          <w:tcPr>
            <w:tcW w:w="1253" w:type="dxa"/>
          </w:tcPr>
          <w:p w:rsidR="0009110F" w:rsidRDefault="000E4200" w:rsidP="00BE6A32">
            <w:pPr>
              <w:rPr>
                <w:rFonts w:cstheme="minorHAnsi"/>
              </w:rPr>
            </w:pPr>
            <w:r>
              <w:rPr>
                <w:rFonts w:cstheme="minorHAnsi"/>
              </w:rPr>
              <w:t>Cory Brady</w:t>
            </w:r>
          </w:p>
        </w:tc>
        <w:tc>
          <w:tcPr>
            <w:tcW w:w="1248" w:type="dxa"/>
          </w:tcPr>
          <w:p w:rsidR="0009110F" w:rsidRDefault="000E4200" w:rsidP="00BE6A32">
            <w:pPr>
              <w:rPr>
                <w:rFonts w:cstheme="minorHAnsi"/>
              </w:rPr>
            </w:pPr>
            <w:r>
              <w:rPr>
                <w:rFonts w:cstheme="minorHAnsi"/>
              </w:rPr>
              <w:t>12 months (vendor and local staff time)</w:t>
            </w:r>
          </w:p>
        </w:tc>
        <w:tc>
          <w:tcPr>
            <w:tcW w:w="1052" w:type="dxa"/>
          </w:tcPr>
          <w:p w:rsidR="0009110F" w:rsidRDefault="000E4200" w:rsidP="00BE6A32">
            <w:pPr>
              <w:rPr>
                <w:rFonts w:cstheme="minorHAnsi"/>
              </w:rPr>
            </w:pPr>
            <w:r>
              <w:rPr>
                <w:rFonts w:cstheme="minorHAnsi"/>
              </w:rPr>
              <w:t>$100,000</w:t>
            </w:r>
          </w:p>
        </w:tc>
        <w:tc>
          <w:tcPr>
            <w:tcW w:w="1942" w:type="dxa"/>
          </w:tcPr>
          <w:p w:rsidR="0009110F" w:rsidRDefault="000E4200" w:rsidP="00BE6A32">
            <w:pPr>
              <w:rPr>
                <w:rFonts w:cstheme="minorHAnsi"/>
              </w:rPr>
            </w:pPr>
            <w:r>
              <w:rPr>
                <w:rFonts w:cstheme="minorHAnsi"/>
              </w:rPr>
              <w:t>Amber Gallagher/Ricky Shabazz</w:t>
            </w:r>
          </w:p>
        </w:tc>
      </w:tr>
      <w:tr w:rsidR="003F0B9D" w:rsidRPr="009C1222" w:rsidTr="00A5251D">
        <w:tc>
          <w:tcPr>
            <w:tcW w:w="797" w:type="dxa"/>
          </w:tcPr>
          <w:p w:rsidR="003F0B9D" w:rsidRPr="009C1222" w:rsidRDefault="00516DDF" w:rsidP="00BE6A32">
            <w:pPr>
              <w:jc w:val="center"/>
              <w:rPr>
                <w:rFonts w:cstheme="minorHAnsi"/>
                <w:b/>
              </w:rPr>
            </w:pPr>
            <w:r>
              <w:rPr>
                <w:rFonts w:cstheme="minorHAnsi"/>
                <w:b/>
              </w:rPr>
              <w:t>2</w:t>
            </w:r>
          </w:p>
        </w:tc>
        <w:tc>
          <w:tcPr>
            <w:tcW w:w="1522" w:type="dxa"/>
          </w:tcPr>
          <w:p w:rsidR="003F0B9D" w:rsidRPr="009C1222" w:rsidRDefault="00516DDF" w:rsidP="00BE6A32">
            <w:pPr>
              <w:rPr>
                <w:rFonts w:cstheme="minorHAnsi"/>
              </w:rPr>
            </w:pPr>
            <w:r>
              <w:rPr>
                <w:rFonts w:cstheme="minorHAnsi"/>
              </w:rPr>
              <w:t>25 Live</w:t>
            </w:r>
          </w:p>
        </w:tc>
        <w:tc>
          <w:tcPr>
            <w:tcW w:w="5624" w:type="dxa"/>
          </w:tcPr>
          <w:p w:rsidR="003F0B9D" w:rsidRPr="009C1222" w:rsidRDefault="00516DDF" w:rsidP="00BE6A32">
            <w:pPr>
              <w:rPr>
                <w:rFonts w:cstheme="minorHAnsi"/>
              </w:rPr>
            </w:pPr>
            <w:r>
              <w:rPr>
                <w:rFonts w:cstheme="minorHAnsi"/>
              </w:rPr>
              <w:t>This project is to implement a web based version of 25 Live for both Crafton Hills College and San Bernardino Valley College.  the software allows for classroom and event scheduling and through its use, we will have more efficient use of campus space and be able to report on the usage of campus space</w:t>
            </w:r>
          </w:p>
        </w:tc>
        <w:tc>
          <w:tcPr>
            <w:tcW w:w="1253" w:type="dxa"/>
          </w:tcPr>
          <w:p w:rsidR="003F0B9D" w:rsidRPr="009C1222" w:rsidRDefault="00516DDF" w:rsidP="00BE6A32">
            <w:pPr>
              <w:rPr>
                <w:rFonts w:cstheme="minorHAnsi"/>
              </w:rPr>
            </w:pPr>
            <w:r>
              <w:rPr>
                <w:rFonts w:cstheme="minorHAnsi"/>
              </w:rPr>
              <w:t>Arlene McGowan</w:t>
            </w:r>
          </w:p>
        </w:tc>
        <w:tc>
          <w:tcPr>
            <w:tcW w:w="1248" w:type="dxa"/>
          </w:tcPr>
          <w:p w:rsidR="003F0B9D" w:rsidRPr="009C1222" w:rsidRDefault="00516DDF" w:rsidP="00BE6A32">
            <w:pPr>
              <w:rPr>
                <w:rFonts w:cstheme="minorHAnsi"/>
              </w:rPr>
            </w:pPr>
            <w:r>
              <w:rPr>
                <w:rFonts w:cstheme="minorHAnsi"/>
              </w:rPr>
              <w:t>12 months (vendor and local staff time)</w:t>
            </w:r>
          </w:p>
        </w:tc>
        <w:tc>
          <w:tcPr>
            <w:tcW w:w="1052" w:type="dxa"/>
          </w:tcPr>
          <w:p w:rsidR="003F0B9D" w:rsidRPr="009C1222" w:rsidRDefault="00516DDF" w:rsidP="00BE6A32">
            <w:pPr>
              <w:rPr>
                <w:rFonts w:cstheme="minorHAnsi"/>
              </w:rPr>
            </w:pPr>
            <w:r>
              <w:rPr>
                <w:rFonts w:cstheme="minorHAnsi"/>
              </w:rPr>
              <w:t>$60,000</w:t>
            </w:r>
          </w:p>
        </w:tc>
        <w:tc>
          <w:tcPr>
            <w:tcW w:w="1942" w:type="dxa"/>
          </w:tcPr>
          <w:p w:rsidR="003F0B9D" w:rsidRPr="009C1222" w:rsidRDefault="00516DDF" w:rsidP="00BE6A32">
            <w:pPr>
              <w:rPr>
                <w:rFonts w:cstheme="minorHAnsi"/>
              </w:rPr>
            </w:pPr>
            <w:r>
              <w:rPr>
                <w:rFonts w:cstheme="minorHAnsi"/>
              </w:rPr>
              <w:t>Scott Stark/Mike Strong</w:t>
            </w:r>
          </w:p>
        </w:tc>
      </w:tr>
    </w:tbl>
    <w:p w:rsidR="00BE6A32" w:rsidRDefault="00BE6A32">
      <w:pPr>
        <w:rPr>
          <w:rFonts w:cstheme="minorHAnsi"/>
        </w:rPr>
      </w:pPr>
    </w:p>
    <w:p w:rsidR="0063486F" w:rsidRDefault="0063486F">
      <w:pPr>
        <w:rPr>
          <w:rFonts w:cstheme="minorHAnsi"/>
        </w:rPr>
      </w:pPr>
    </w:p>
    <w:p w:rsidR="0063486F" w:rsidRDefault="0063486F">
      <w:pPr>
        <w:rPr>
          <w:rFonts w:cstheme="minorHAnsi"/>
        </w:rPr>
      </w:pPr>
    </w:p>
    <w:p w:rsidR="0063486F" w:rsidRDefault="0063486F">
      <w:pPr>
        <w:rPr>
          <w:rFonts w:cstheme="minorHAnsi"/>
        </w:rPr>
      </w:pPr>
    </w:p>
    <w:tbl>
      <w:tblPr>
        <w:tblStyle w:val="TableGrid"/>
        <w:tblpPr w:leftFromText="187" w:rightFromText="187" w:vertAnchor="text" w:horzAnchor="margin" w:tblpY="1"/>
        <w:tblW w:w="13468" w:type="dxa"/>
        <w:tblLook w:val="04A0" w:firstRow="1" w:lastRow="0" w:firstColumn="1" w:lastColumn="0" w:noHBand="0" w:noVBand="1"/>
      </w:tblPr>
      <w:tblGrid>
        <w:gridCol w:w="732"/>
        <w:gridCol w:w="1476"/>
        <w:gridCol w:w="4914"/>
        <w:gridCol w:w="2251"/>
        <w:gridCol w:w="1175"/>
        <w:gridCol w:w="1050"/>
        <w:gridCol w:w="1870"/>
      </w:tblGrid>
      <w:tr w:rsidR="0063486F" w:rsidRPr="009C1222" w:rsidTr="00322329">
        <w:tc>
          <w:tcPr>
            <w:tcW w:w="797" w:type="dxa"/>
          </w:tcPr>
          <w:p w:rsidR="0063486F" w:rsidRPr="009C1222" w:rsidRDefault="0063486F" w:rsidP="00322329">
            <w:pPr>
              <w:jc w:val="center"/>
              <w:rPr>
                <w:rFonts w:cstheme="minorHAnsi"/>
                <w:b/>
              </w:rPr>
            </w:pPr>
            <w:r>
              <w:rPr>
                <w:rFonts w:cstheme="minorHAnsi"/>
                <w:b/>
              </w:rPr>
              <w:lastRenderedPageBreak/>
              <w:t>0</w:t>
            </w:r>
          </w:p>
        </w:tc>
        <w:tc>
          <w:tcPr>
            <w:tcW w:w="1535" w:type="dxa"/>
          </w:tcPr>
          <w:p w:rsidR="0063486F" w:rsidRPr="009C1222" w:rsidRDefault="0063486F" w:rsidP="00322329">
            <w:pPr>
              <w:jc w:val="both"/>
              <w:rPr>
                <w:rFonts w:cstheme="minorHAnsi"/>
                <w:color w:val="000000" w:themeColor="text1"/>
              </w:rPr>
            </w:pPr>
            <w:r>
              <w:rPr>
                <w:rFonts w:cstheme="minorHAnsi"/>
                <w:color w:val="000000" w:themeColor="text1"/>
              </w:rPr>
              <w:t>New AB540 Residency Code</w:t>
            </w:r>
          </w:p>
          <w:p w:rsidR="0063486F" w:rsidRPr="009C1222" w:rsidRDefault="0063486F" w:rsidP="00322329">
            <w:pPr>
              <w:rPr>
                <w:rFonts w:cstheme="minorHAnsi"/>
              </w:rPr>
            </w:pPr>
          </w:p>
        </w:tc>
        <w:tc>
          <w:tcPr>
            <w:tcW w:w="5523" w:type="dxa"/>
          </w:tcPr>
          <w:p w:rsidR="0063486F" w:rsidRDefault="0063486F" w:rsidP="00322329">
            <w:pPr>
              <w:rPr>
                <w:rFonts w:cstheme="minorHAnsi"/>
              </w:rPr>
            </w:pPr>
            <w:r>
              <w:rPr>
                <w:rFonts w:cstheme="minorHAnsi"/>
              </w:rPr>
              <w:t>The purpose of this project is to create an additional residency code, 51000, that would be used to identify AB540 students.  Currently there are only 2 residency code, 50000 for California residents and 81000 for non-CA residents.  With this new residency code, it would allow for more efficient processing of reports and more accurate reporting to the state for FTES</w:t>
            </w:r>
          </w:p>
          <w:p w:rsidR="0063486F" w:rsidRPr="009C1222" w:rsidRDefault="0063486F" w:rsidP="00322329">
            <w:pPr>
              <w:rPr>
                <w:rFonts w:cstheme="minorHAnsi"/>
              </w:rPr>
            </w:pPr>
          </w:p>
        </w:tc>
        <w:tc>
          <w:tcPr>
            <w:tcW w:w="1432" w:type="dxa"/>
          </w:tcPr>
          <w:p w:rsidR="0063486F" w:rsidRPr="009C1222" w:rsidRDefault="0063486F" w:rsidP="00322329">
            <w:pPr>
              <w:rPr>
                <w:rFonts w:cstheme="minorHAnsi"/>
              </w:rPr>
            </w:pPr>
            <w:r>
              <w:rPr>
                <w:rFonts w:cstheme="minorHAnsi"/>
              </w:rPr>
              <w:t>Not Yet Prioritized/Unassigned</w:t>
            </w:r>
          </w:p>
        </w:tc>
        <w:tc>
          <w:tcPr>
            <w:tcW w:w="1248" w:type="dxa"/>
          </w:tcPr>
          <w:p w:rsidR="0063486F" w:rsidRPr="009C1222" w:rsidRDefault="0063486F" w:rsidP="00322329">
            <w:pPr>
              <w:rPr>
                <w:rFonts w:cstheme="minorHAnsi"/>
              </w:rPr>
            </w:pPr>
            <w:r>
              <w:rPr>
                <w:rFonts w:cstheme="minorHAnsi"/>
              </w:rPr>
              <w:t>108 hours</w:t>
            </w:r>
          </w:p>
        </w:tc>
        <w:tc>
          <w:tcPr>
            <w:tcW w:w="1050" w:type="dxa"/>
          </w:tcPr>
          <w:p w:rsidR="0063486F" w:rsidRPr="009C1222" w:rsidRDefault="0063486F" w:rsidP="00322329">
            <w:pPr>
              <w:rPr>
                <w:rFonts w:cstheme="minorHAnsi"/>
              </w:rPr>
            </w:pPr>
            <w:r>
              <w:rPr>
                <w:rFonts w:cstheme="minorHAnsi"/>
              </w:rPr>
              <w:t>Time and materials</w:t>
            </w:r>
          </w:p>
        </w:tc>
        <w:tc>
          <w:tcPr>
            <w:tcW w:w="1883" w:type="dxa"/>
          </w:tcPr>
          <w:p w:rsidR="0063486F" w:rsidRPr="009C1222" w:rsidRDefault="0063486F" w:rsidP="00322329">
            <w:pPr>
              <w:rPr>
                <w:rFonts w:cstheme="minorHAnsi"/>
              </w:rPr>
            </w:pPr>
            <w:r>
              <w:rPr>
                <w:rFonts w:cstheme="minorHAnsi"/>
              </w:rPr>
              <w:t>April Dale-Carter/Ricky Shabazz &amp;&amp; Larry Aycock/Rebeccah Warren-Marlatt</w:t>
            </w:r>
          </w:p>
        </w:tc>
      </w:tr>
    </w:tbl>
    <w:p w:rsidR="00516DDF" w:rsidRPr="009C1222" w:rsidRDefault="00516DDF" w:rsidP="0063486F">
      <w:pPr>
        <w:rPr>
          <w:rFonts w:cstheme="minorHAnsi"/>
        </w:rPr>
      </w:pPr>
    </w:p>
    <w:sectPr w:rsidR="00516DDF" w:rsidRPr="009C1222" w:rsidSect="00E40B13">
      <w:headerReference w:type="default" r:id="rId7"/>
      <w:pgSz w:w="15840" w:h="12240" w:orient="landscape"/>
      <w:pgMar w:top="990" w:right="1440" w:bottom="45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37" w:rsidRDefault="001E4937" w:rsidP="00E40B13">
      <w:pPr>
        <w:spacing w:after="0" w:line="240" w:lineRule="auto"/>
      </w:pPr>
      <w:r>
        <w:separator/>
      </w:r>
    </w:p>
  </w:endnote>
  <w:endnote w:type="continuationSeparator" w:id="0">
    <w:p w:rsidR="001E4937" w:rsidRDefault="001E4937" w:rsidP="00E4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37" w:rsidRDefault="001E4937" w:rsidP="00E40B13">
      <w:pPr>
        <w:spacing w:after="0" w:line="240" w:lineRule="auto"/>
      </w:pPr>
      <w:r>
        <w:separator/>
      </w:r>
    </w:p>
  </w:footnote>
  <w:footnote w:type="continuationSeparator" w:id="0">
    <w:p w:rsidR="001E4937" w:rsidRDefault="001E4937" w:rsidP="00E4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06" w:rsidRPr="00E40B13" w:rsidRDefault="00E40B13" w:rsidP="00E45606">
    <w:pPr>
      <w:pStyle w:val="Header"/>
      <w:jc w:val="center"/>
      <w:rPr>
        <w:b/>
        <w:sz w:val="28"/>
        <w:szCs w:val="28"/>
      </w:rPr>
    </w:pPr>
    <w:r w:rsidRPr="00E40B13">
      <w:rPr>
        <w:b/>
        <w:sz w:val="28"/>
        <w:szCs w:val="28"/>
      </w:rPr>
      <w:t xml:space="preserve">Project </w:t>
    </w:r>
    <w:r w:rsidR="007856FB">
      <w:rPr>
        <w:b/>
        <w:sz w:val="28"/>
        <w:szCs w:val="28"/>
      </w:rPr>
      <w:t>List</w:t>
    </w:r>
    <w:r w:rsidRPr="00E40B13">
      <w:rPr>
        <w:b/>
        <w:sz w:val="28"/>
        <w:szCs w:val="28"/>
      </w:rPr>
      <w:t xml:space="preserve"> for </w:t>
    </w:r>
    <w:r w:rsidR="008D4632">
      <w:rPr>
        <w:b/>
        <w:sz w:val="28"/>
        <w:szCs w:val="28"/>
      </w:rPr>
      <w:t>Spring 2016</w:t>
    </w:r>
    <w:r w:rsidR="00E45606">
      <w:rPr>
        <w:b/>
        <w:sz w:val="28"/>
        <w:szCs w:val="28"/>
      </w:rPr>
      <w:t xml:space="preserve"> Cycle</w:t>
    </w:r>
  </w:p>
  <w:p w:rsidR="00E40B13" w:rsidRDefault="00E40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D"/>
    <w:rsid w:val="00015D2D"/>
    <w:rsid w:val="000315DC"/>
    <w:rsid w:val="000417E0"/>
    <w:rsid w:val="00057317"/>
    <w:rsid w:val="0008696E"/>
    <w:rsid w:val="0009110F"/>
    <w:rsid w:val="000C0DC6"/>
    <w:rsid w:val="000E4200"/>
    <w:rsid w:val="001C0460"/>
    <w:rsid w:val="001E4937"/>
    <w:rsid w:val="00210242"/>
    <w:rsid w:val="00364BCD"/>
    <w:rsid w:val="00387AC2"/>
    <w:rsid w:val="003F0B9D"/>
    <w:rsid w:val="0040192D"/>
    <w:rsid w:val="00401A04"/>
    <w:rsid w:val="004723C4"/>
    <w:rsid w:val="004B4342"/>
    <w:rsid w:val="00516DDF"/>
    <w:rsid w:val="0053725A"/>
    <w:rsid w:val="00563538"/>
    <w:rsid w:val="0057730C"/>
    <w:rsid w:val="005D738C"/>
    <w:rsid w:val="00623055"/>
    <w:rsid w:val="0063486F"/>
    <w:rsid w:val="006358FE"/>
    <w:rsid w:val="006D03C5"/>
    <w:rsid w:val="006F15AC"/>
    <w:rsid w:val="00717201"/>
    <w:rsid w:val="00717BAA"/>
    <w:rsid w:val="00780D9F"/>
    <w:rsid w:val="007856FB"/>
    <w:rsid w:val="00794F18"/>
    <w:rsid w:val="008151E4"/>
    <w:rsid w:val="00864802"/>
    <w:rsid w:val="00871F60"/>
    <w:rsid w:val="0089356F"/>
    <w:rsid w:val="008A657D"/>
    <w:rsid w:val="008B5FA7"/>
    <w:rsid w:val="008D4632"/>
    <w:rsid w:val="00954E2B"/>
    <w:rsid w:val="00962679"/>
    <w:rsid w:val="009C1222"/>
    <w:rsid w:val="009D78E7"/>
    <w:rsid w:val="00A5251D"/>
    <w:rsid w:val="00A63CA4"/>
    <w:rsid w:val="00AD059C"/>
    <w:rsid w:val="00AD1F33"/>
    <w:rsid w:val="00AF7888"/>
    <w:rsid w:val="00B07D20"/>
    <w:rsid w:val="00B20FA8"/>
    <w:rsid w:val="00BB1702"/>
    <w:rsid w:val="00BE6A32"/>
    <w:rsid w:val="00DD1181"/>
    <w:rsid w:val="00E04FB9"/>
    <w:rsid w:val="00E1475B"/>
    <w:rsid w:val="00E40B13"/>
    <w:rsid w:val="00E44A02"/>
    <w:rsid w:val="00E45606"/>
    <w:rsid w:val="00EC21FC"/>
    <w:rsid w:val="00EE1F3C"/>
    <w:rsid w:val="00F52585"/>
    <w:rsid w:val="00F85CA9"/>
    <w:rsid w:val="00F927D9"/>
    <w:rsid w:val="00F9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A39C1-C5FE-44AE-A377-4309B6E0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D2D"/>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4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13"/>
  </w:style>
  <w:style w:type="paragraph" w:styleId="Footer">
    <w:name w:val="footer"/>
    <w:basedOn w:val="Normal"/>
    <w:link w:val="FooterChar"/>
    <w:uiPriority w:val="99"/>
    <w:unhideWhenUsed/>
    <w:rsid w:val="00E4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13"/>
  </w:style>
  <w:style w:type="paragraph" w:styleId="BalloonText">
    <w:name w:val="Balloon Text"/>
    <w:basedOn w:val="Normal"/>
    <w:link w:val="BalloonTextChar"/>
    <w:uiPriority w:val="99"/>
    <w:semiHidden/>
    <w:unhideWhenUsed/>
    <w:rsid w:val="00E4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gkuck</dc:creator>
  <cp:lastModifiedBy>Leon, Mary Colleen</cp:lastModifiedBy>
  <cp:revision>2</cp:revision>
  <cp:lastPrinted>2015-09-01T15:15:00Z</cp:lastPrinted>
  <dcterms:created xsi:type="dcterms:W3CDTF">2016-03-10T00:29:00Z</dcterms:created>
  <dcterms:modified xsi:type="dcterms:W3CDTF">2016-03-10T00:29:00Z</dcterms:modified>
</cp:coreProperties>
</file>