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Y="1"/>
        <w:tblW w:w="13468" w:type="dxa"/>
        <w:tblLook w:val="04A0" w:firstRow="1" w:lastRow="0" w:firstColumn="1" w:lastColumn="0" w:noHBand="0" w:noVBand="1"/>
      </w:tblPr>
      <w:tblGrid>
        <w:gridCol w:w="797"/>
        <w:gridCol w:w="1708"/>
        <w:gridCol w:w="5154"/>
        <w:gridCol w:w="1570"/>
        <w:gridCol w:w="1248"/>
        <w:gridCol w:w="1062"/>
        <w:gridCol w:w="1929"/>
      </w:tblGrid>
      <w:tr w:rsidR="00F322FA" w:rsidRPr="009C1222" w:rsidTr="00AD60B9">
        <w:tc>
          <w:tcPr>
            <w:tcW w:w="797" w:type="dxa"/>
            <w:tcBorders>
              <w:bottom w:val="single" w:sz="4" w:space="0" w:color="auto"/>
            </w:tcBorders>
          </w:tcPr>
          <w:p w:rsidR="003F0B9D" w:rsidRPr="00F85CA9" w:rsidRDefault="003F0B9D" w:rsidP="00F85CA9">
            <w:pPr>
              <w:jc w:val="center"/>
              <w:rPr>
                <w:rFonts w:cstheme="minorHAnsi"/>
                <w:b/>
                <w:sz w:val="28"/>
                <w:szCs w:val="28"/>
              </w:rPr>
            </w:pPr>
            <w:r w:rsidRPr="00F85CA9">
              <w:rPr>
                <w:rFonts w:cstheme="minorHAnsi"/>
                <w:b/>
                <w:sz w:val="28"/>
                <w:szCs w:val="28"/>
              </w:rPr>
              <w:t>Rank</w:t>
            </w:r>
          </w:p>
        </w:tc>
        <w:tc>
          <w:tcPr>
            <w:tcW w:w="1710" w:type="dxa"/>
            <w:tcBorders>
              <w:bottom w:val="single" w:sz="4" w:space="0" w:color="auto"/>
            </w:tcBorders>
          </w:tcPr>
          <w:p w:rsidR="003F0B9D" w:rsidRPr="00F85CA9" w:rsidRDefault="003F0B9D" w:rsidP="00F85CA9">
            <w:pPr>
              <w:rPr>
                <w:rFonts w:cstheme="minorHAnsi"/>
                <w:b/>
                <w:sz w:val="28"/>
                <w:szCs w:val="28"/>
              </w:rPr>
            </w:pPr>
            <w:r w:rsidRPr="00F85CA9">
              <w:rPr>
                <w:rFonts w:cstheme="minorHAnsi"/>
                <w:b/>
                <w:sz w:val="28"/>
                <w:szCs w:val="28"/>
              </w:rPr>
              <w:t>Project Title</w:t>
            </w:r>
          </w:p>
        </w:tc>
        <w:tc>
          <w:tcPr>
            <w:tcW w:w="5300" w:type="dxa"/>
            <w:tcBorders>
              <w:bottom w:val="single" w:sz="4" w:space="0" w:color="auto"/>
            </w:tcBorders>
          </w:tcPr>
          <w:p w:rsidR="003F0B9D" w:rsidRPr="00F85CA9" w:rsidRDefault="003F0B9D" w:rsidP="00F85CA9">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Internal</w:t>
            </w:r>
            <w:r w:rsidR="00F85CA9" w:rsidRPr="00F85CA9">
              <w:rPr>
                <w:rFonts w:cstheme="minorHAnsi"/>
                <w:b/>
                <w:sz w:val="28"/>
                <w:szCs w:val="28"/>
              </w:rPr>
              <w:t xml:space="preserve"> Projects</w:t>
            </w:r>
          </w:p>
        </w:tc>
        <w:tc>
          <w:tcPr>
            <w:tcW w:w="1422" w:type="dxa"/>
            <w:tcBorders>
              <w:bottom w:val="single" w:sz="4" w:space="0" w:color="auto"/>
            </w:tcBorders>
          </w:tcPr>
          <w:p w:rsidR="003F0B9D" w:rsidRPr="00F85CA9" w:rsidRDefault="005A6799" w:rsidP="00F85CA9">
            <w:pPr>
              <w:jc w:val="center"/>
              <w:rPr>
                <w:rFonts w:cstheme="minorHAnsi"/>
                <w:b/>
                <w:sz w:val="28"/>
                <w:szCs w:val="28"/>
              </w:rPr>
            </w:pPr>
            <w:r>
              <w:rPr>
                <w:rFonts w:cstheme="minorHAnsi"/>
                <w:b/>
                <w:sz w:val="28"/>
                <w:szCs w:val="28"/>
              </w:rPr>
              <w:t>Est. Completion</w:t>
            </w:r>
          </w:p>
        </w:tc>
        <w:tc>
          <w:tcPr>
            <w:tcW w:w="1248" w:type="dxa"/>
            <w:tcBorders>
              <w:bottom w:val="single" w:sz="4" w:space="0" w:color="auto"/>
            </w:tcBorders>
          </w:tcPr>
          <w:p w:rsidR="003F0B9D" w:rsidRPr="00F85CA9" w:rsidRDefault="003F0B9D" w:rsidP="00F85CA9">
            <w:pPr>
              <w:jc w:val="center"/>
              <w:rPr>
                <w:rFonts w:cstheme="minorHAnsi"/>
                <w:b/>
                <w:sz w:val="28"/>
                <w:szCs w:val="28"/>
              </w:rPr>
            </w:pPr>
            <w:r w:rsidRPr="00F85CA9">
              <w:rPr>
                <w:rFonts w:cstheme="minorHAnsi"/>
                <w:b/>
                <w:sz w:val="28"/>
                <w:szCs w:val="28"/>
              </w:rPr>
              <w:t>Duration</w:t>
            </w:r>
          </w:p>
        </w:tc>
        <w:tc>
          <w:tcPr>
            <w:tcW w:w="1062" w:type="dxa"/>
            <w:tcBorders>
              <w:bottom w:val="single" w:sz="4" w:space="0" w:color="auto"/>
            </w:tcBorders>
          </w:tcPr>
          <w:p w:rsidR="003F0B9D" w:rsidRPr="00F85CA9" w:rsidRDefault="003F0B9D" w:rsidP="00F85CA9">
            <w:pPr>
              <w:jc w:val="center"/>
              <w:rPr>
                <w:rFonts w:cstheme="minorHAnsi"/>
                <w:b/>
                <w:sz w:val="28"/>
                <w:szCs w:val="28"/>
              </w:rPr>
            </w:pPr>
            <w:r w:rsidRPr="00F85CA9">
              <w:rPr>
                <w:rFonts w:cstheme="minorHAnsi"/>
                <w:b/>
                <w:sz w:val="28"/>
                <w:szCs w:val="28"/>
              </w:rPr>
              <w:t>Cost</w:t>
            </w:r>
          </w:p>
        </w:tc>
        <w:tc>
          <w:tcPr>
            <w:tcW w:w="1929" w:type="dxa"/>
            <w:tcBorders>
              <w:bottom w:val="single" w:sz="4" w:space="0" w:color="auto"/>
            </w:tcBorders>
          </w:tcPr>
          <w:p w:rsidR="003F0B9D" w:rsidRPr="00F85CA9" w:rsidRDefault="003F0B9D" w:rsidP="00F85CA9">
            <w:pPr>
              <w:jc w:val="center"/>
              <w:rPr>
                <w:rFonts w:cstheme="minorHAnsi"/>
                <w:b/>
                <w:sz w:val="28"/>
                <w:szCs w:val="28"/>
              </w:rPr>
            </w:pPr>
            <w:r w:rsidRPr="00F85CA9">
              <w:rPr>
                <w:rFonts w:cstheme="minorHAnsi"/>
                <w:b/>
                <w:sz w:val="28"/>
                <w:szCs w:val="28"/>
              </w:rPr>
              <w:t>Sponsor</w:t>
            </w:r>
          </w:p>
        </w:tc>
      </w:tr>
      <w:tr w:rsidR="0004772F" w:rsidRPr="009C1222" w:rsidTr="00AD60B9">
        <w:tc>
          <w:tcPr>
            <w:tcW w:w="797" w:type="dxa"/>
            <w:shd w:val="clear" w:color="auto" w:fill="D6E3BC" w:themeFill="accent3" w:themeFillTint="66"/>
          </w:tcPr>
          <w:p w:rsidR="0004772F" w:rsidRPr="00AD60B9" w:rsidRDefault="0004772F" w:rsidP="0004772F">
            <w:pPr>
              <w:jc w:val="center"/>
              <w:rPr>
                <w:rFonts w:cstheme="minorHAnsi"/>
                <w:b/>
              </w:rPr>
            </w:pPr>
            <w:r w:rsidRPr="00AD60B9">
              <w:rPr>
                <w:rFonts w:cstheme="minorHAnsi"/>
                <w:b/>
              </w:rPr>
              <w:t>1</w:t>
            </w:r>
          </w:p>
        </w:tc>
        <w:tc>
          <w:tcPr>
            <w:tcW w:w="1710" w:type="dxa"/>
            <w:shd w:val="clear" w:color="auto" w:fill="D6E3BC" w:themeFill="accent3" w:themeFillTint="66"/>
          </w:tcPr>
          <w:p w:rsidR="0004772F" w:rsidRPr="00AD60B9" w:rsidRDefault="0004772F" w:rsidP="0004772F">
            <w:pPr>
              <w:jc w:val="both"/>
              <w:rPr>
                <w:rFonts w:cstheme="minorHAnsi"/>
                <w:color w:val="000000" w:themeColor="text1"/>
              </w:rPr>
            </w:pPr>
            <w:r w:rsidRPr="00AD60B9">
              <w:rPr>
                <w:rFonts w:cstheme="minorHAnsi"/>
                <w:color w:val="000000" w:themeColor="text1"/>
              </w:rPr>
              <w:t>Enterprise Resource Planning (ERP) implementation</w:t>
            </w:r>
          </w:p>
        </w:tc>
        <w:tc>
          <w:tcPr>
            <w:tcW w:w="5300" w:type="dxa"/>
            <w:shd w:val="clear" w:color="auto" w:fill="D6E3BC" w:themeFill="accent3" w:themeFillTint="66"/>
          </w:tcPr>
          <w:p w:rsidR="0004772F" w:rsidRPr="00AD60B9" w:rsidRDefault="0004772F" w:rsidP="0004772F">
            <w:pPr>
              <w:rPr>
                <w:rFonts w:cstheme="minorHAnsi"/>
              </w:rPr>
            </w:pPr>
            <w:r w:rsidRPr="00AD60B9">
              <w:t>The District is going through a process to gain financial independence. A major part of this process is to move off County of San Bernardino Schools systems such as Financial 2000 and EPICS to our own Fiscal and HR ERP. Towards that end, the District has decided to go with Oracle for the Finance module and ADP for HR/Payroll. TESS is tasked with project managing this implementation as well as programming the necessary interfaces between Oracle/ADP to our various internal systems. There will also be a data warehouse implementation as well that ties in various data sources into a central system.</w:t>
            </w:r>
          </w:p>
        </w:tc>
        <w:tc>
          <w:tcPr>
            <w:tcW w:w="1422" w:type="dxa"/>
            <w:shd w:val="clear" w:color="auto" w:fill="D6E3BC" w:themeFill="accent3" w:themeFillTint="66"/>
          </w:tcPr>
          <w:p w:rsidR="0004772F" w:rsidRPr="00AD60B9" w:rsidRDefault="005A6799" w:rsidP="0004772F">
            <w:pPr>
              <w:rPr>
                <w:rFonts w:cstheme="minorHAnsi"/>
              </w:rPr>
            </w:pPr>
            <w:r w:rsidRPr="00AD60B9">
              <w:rPr>
                <w:rFonts w:cstheme="minorHAnsi"/>
              </w:rPr>
              <w:t>October 2017</w:t>
            </w:r>
          </w:p>
        </w:tc>
        <w:tc>
          <w:tcPr>
            <w:tcW w:w="1248" w:type="dxa"/>
            <w:shd w:val="clear" w:color="auto" w:fill="D6E3BC" w:themeFill="accent3" w:themeFillTint="66"/>
          </w:tcPr>
          <w:p w:rsidR="0004772F" w:rsidRPr="00AD60B9" w:rsidRDefault="0004772F" w:rsidP="0004772F">
            <w:pPr>
              <w:rPr>
                <w:rFonts w:cstheme="minorHAnsi"/>
              </w:rPr>
            </w:pPr>
            <w:r w:rsidRPr="00AD60B9">
              <w:rPr>
                <w:rFonts w:cstheme="minorHAnsi"/>
              </w:rPr>
              <w:t>12 months</w:t>
            </w:r>
          </w:p>
        </w:tc>
        <w:tc>
          <w:tcPr>
            <w:tcW w:w="1062" w:type="dxa"/>
            <w:shd w:val="clear" w:color="auto" w:fill="D6E3BC" w:themeFill="accent3" w:themeFillTint="66"/>
          </w:tcPr>
          <w:p w:rsidR="0004772F" w:rsidRPr="00AD60B9" w:rsidRDefault="0004772F" w:rsidP="0004772F">
            <w:pPr>
              <w:tabs>
                <w:tab w:val="left" w:pos="320"/>
              </w:tabs>
              <w:rPr>
                <w:rFonts w:cstheme="minorHAnsi"/>
              </w:rPr>
            </w:pPr>
            <w:r w:rsidRPr="00AD60B9">
              <w:rPr>
                <w:rFonts w:cstheme="minorHAnsi"/>
              </w:rPr>
              <w:t>Time and materials</w:t>
            </w:r>
          </w:p>
        </w:tc>
        <w:tc>
          <w:tcPr>
            <w:tcW w:w="1929" w:type="dxa"/>
            <w:shd w:val="clear" w:color="auto" w:fill="D6E3BC" w:themeFill="accent3" w:themeFillTint="66"/>
          </w:tcPr>
          <w:p w:rsidR="0004772F" w:rsidRPr="00AD60B9" w:rsidRDefault="0004772F" w:rsidP="0004772F">
            <w:pPr>
              <w:rPr>
                <w:rFonts w:cstheme="minorHAnsi"/>
              </w:rPr>
            </w:pPr>
            <w:r w:rsidRPr="00AD60B9">
              <w:rPr>
                <w:rFonts w:cstheme="minorHAnsi"/>
              </w:rPr>
              <w:t>Yvette Tram/Jose Torres</w:t>
            </w:r>
          </w:p>
        </w:tc>
      </w:tr>
      <w:tr w:rsidR="0004772F" w:rsidRPr="009C1222" w:rsidTr="00AD60B9">
        <w:tc>
          <w:tcPr>
            <w:tcW w:w="797" w:type="dxa"/>
            <w:shd w:val="clear" w:color="auto" w:fill="D6E3BC" w:themeFill="accent3" w:themeFillTint="66"/>
          </w:tcPr>
          <w:p w:rsidR="0004772F" w:rsidRPr="00AD60B9" w:rsidRDefault="0004772F" w:rsidP="0004772F">
            <w:pPr>
              <w:jc w:val="center"/>
              <w:rPr>
                <w:rFonts w:cstheme="minorHAnsi"/>
                <w:b/>
              </w:rPr>
            </w:pPr>
            <w:r w:rsidRPr="00AD60B9">
              <w:rPr>
                <w:rFonts w:cstheme="minorHAnsi"/>
                <w:b/>
              </w:rPr>
              <w:t>2</w:t>
            </w:r>
          </w:p>
        </w:tc>
        <w:tc>
          <w:tcPr>
            <w:tcW w:w="1710" w:type="dxa"/>
            <w:shd w:val="clear" w:color="auto" w:fill="D6E3BC" w:themeFill="accent3" w:themeFillTint="66"/>
          </w:tcPr>
          <w:p w:rsidR="0004772F" w:rsidRPr="00AD60B9" w:rsidRDefault="0004772F" w:rsidP="0004772F">
            <w:pPr>
              <w:rPr>
                <w:rFonts w:cstheme="minorHAnsi"/>
                <w:color w:val="000000" w:themeColor="text1"/>
              </w:rPr>
            </w:pPr>
            <w:r w:rsidRPr="00AD60B9">
              <w:rPr>
                <w:rFonts w:cstheme="minorHAnsi"/>
                <w:color w:val="000000" w:themeColor="text1"/>
              </w:rPr>
              <w:t>Automation of Pre-requisite and Co-Requisite Drops</w:t>
            </w:r>
          </w:p>
          <w:p w:rsidR="0004772F" w:rsidRPr="00AD60B9" w:rsidRDefault="0004772F" w:rsidP="0004772F">
            <w:pPr>
              <w:jc w:val="both"/>
              <w:rPr>
                <w:rFonts w:cstheme="minorHAnsi"/>
                <w:color w:val="000000" w:themeColor="text1"/>
              </w:rPr>
            </w:pPr>
          </w:p>
        </w:tc>
        <w:tc>
          <w:tcPr>
            <w:tcW w:w="5300" w:type="dxa"/>
            <w:shd w:val="clear" w:color="auto" w:fill="D6E3BC" w:themeFill="accent3" w:themeFillTint="66"/>
          </w:tcPr>
          <w:p w:rsidR="0004772F" w:rsidRPr="00AD60B9" w:rsidRDefault="0004772F" w:rsidP="0004772F">
            <w:pPr>
              <w:rPr>
                <w:rFonts w:cstheme="minorHAnsi"/>
              </w:rPr>
            </w:pPr>
            <w:r w:rsidRPr="00AD60B9">
              <w:rPr>
                <w:rFonts w:cstheme="minorHAnsi"/>
              </w:rPr>
              <w:t xml:space="preserve">Currently a student who is taking a course that is a pre-requisite for another course is allowed to register for that other course while taking the pre-requisite.  If a student does not pass the pre-requisite course, the unsuccessful student is marked in the system with an asterisk.  The change requested is instead of the asterisk, the student is automatically dropped from within Datatel.  According to the project requestor, if this request is not met, the earth will cease to rotate on its axis and we will all either freeze or burn to death.  </w:t>
            </w:r>
          </w:p>
          <w:p w:rsidR="0004772F" w:rsidRPr="00AD60B9" w:rsidRDefault="0004772F" w:rsidP="0004772F">
            <w:pPr>
              <w:rPr>
                <w:rFonts w:cstheme="minorHAnsi"/>
              </w:rPr>
            </w:pPr>
          </w:p>
        </w:tc>
        <w:tc>
          <w:tcPr>
            <w:tcW w:w="1422" w:type="dxa"/>
            <w:shd w:val="clear" w:color="auto" w:fill="D6E3BC" w:themeFill="accent3" w:themeFillTint="66"/>
          </w:tcPr>
          <w:p w:rsidR="0004772F" w:rsidRPr="00AD60B9" w:rsidRDefault="005A6799" w:rsidP="0004772F">
            <w:pPr>
              <w:rPr>
                <w:rFonts w:cstheme="minorHAnsi"/>
              </w:rPr>
            </w:pPr>
            <w:r w:rsidRPr="00AD60B9">
              <w:rPr>
                <w:rFonts w:cstheme="minorHAnsi"/>
              </w:rPr>
              <w:t>August 2017</w:t>
            </w:r>
          </w:p>
        </w:tc>
        <w:tc>
          <w:tcPr>
            <w:tcW w:w="1248" w:type="dxa"/>
            <w:shd w:val="clear" w:color="auto" w:fill="D6E3BC" w:themeFill="accent3" w:themeFillTint="66"/>
          </w:tcPr>
          <w:p w:rsidR="0004772F" w:rsidRPr="00AD60B9" w:rsidRDefault="0004772F" w:rsidP="0004772F">
            <w:pPr>
              <w:rPr>
                <w:rFonts w:cstheme="minorHAnsi"/>
              </w:rPr>
            </w:pPr>
            <w:r w:rsidRPr="00AD60B9">
              <w:rPr>
                <w:rFonts w:cstheme="minorHAnsi"/>
              </w:rPr>
              <w:t>55 Hours</w:t>
            </w:r>
          </w:p>
        </w:tc>
        <w:tc>
          <w:tcPr>
            <w:tcW w:w="1062" w:type="dxa"/>
            <w:shd w:val="clear" w:color="auto" w:fill="D6E3BC" w:themeFill="accent3" w:themeFillTint="66"/>
          </w:tcPr>
          <w:p w:rsidR="0004772F" w:rsidRPr="00AD60B9" w:rsidRDefault="0004772F" w:rsidP="0004772F">
            <w:pPr>
              <w:rPr>
                <w:rFonts w:cstheme="minorHAnsi"/>
              </w:rPr>
            </w:pPr>
            <w:r w:rsidRPr="00AD60B9">
              <w:rPr>
                <w:rFonts w:cstheme="minorHAnsi"/>
              </w:rPr>
              <w:t>Time and effort</w:t>
            </w:r>
          </w:p>
          <w:p w:rsidR="0004772F" w:rsidRPr="00AD60B9" w:rsidRDefault="0004772F" w:rsidP="0004772F">
            <w:pPr>
              <w:tabs>
                <w:tab w:val="left" w:pos="320"/>
              </w:tabs>
              <w:rPr>
                <w:rFonts w:cstheme="minorHAnsi"/>
              </w:rPr>
            </w:pPr>
          </w:p>
        </w:tc>
        <w:tc>
          <w:tcPr>
            <w:tcW w:w="1929" w:type="dxa"/>
            <w:shd w:val="clear" w:color="auto" w:fill="D6E3BC" w:themeFill="accent3" w:themeFillTint="66"/>
          </w:tcPr>
          <w:p w:rsidR="0004772F" w:rsidRPr="00AD60B9" w:rsidRDefault="0004772F" w:rsidP="0004772F">
            <w:pPr>
              <w:rPr>
                <w:rFonts w:cstheme="minorHAnsi"/>
              </w:rPr>
            </w:pPr>
            <w:r w:rsidRPr="00AD60B9">
              <w:rPr>
                <w:rFonts w:cstheme="minorHAnsi"/>
              </w:rPr>
              <w:t>Jeremiah Gilbert/Glen Kuck</w:t>
            </w:r>
          </w:p>
        </w:tc>
      </w:tr>
      <w:tr w:rsidR="0004772F" w:rsidRPr="009C1222" w:rsidTr="00AD60B9">
        <w:tc>
          <w:tcPr>
            <w:tcW w:w="797" w:type="dxa"/>
            <w:shd w:val="clear" w:color="auto" w:fill="D6E3BC" w:themeFill="accent3" w:themeFillTint="66"/>
          </w:tcPr>
          <w:p w:rsidR="0004772F" w:rsidRPr="00AD60B9" w:rsidRDefault="0004772F" w:rsidP="0004772F">
            <w:pPr>
              <w:jc w:val="center"/>
              <w:rPr>
                <w:rFonts w:cstheme="minorHAnsi"/>
                <w:b/>
              </w:rPr>
            </w:pPr>
            <w:r w:rsidRPr="00AD60B9">
              <w:rPr>
                <w:rFonts w:cstheme="minorHAnsi"/>
                <w:b/>
              </w:rPr>
              <w:t>3</w:t>
            </w:r>
          </w:p>
        </w:tc>
        <w:tc>
          <w:tcPr>
            <w:tcW w:w="1710" w:type="dxa"/>
            <w:shd w:val="clear" w:color="auto" w:fill="D6E3BC" w:themeFill="accent3" w:themeFillTint="66"/>
          </w:tcPr>
          <w:p w:rsidR="0004772F" w:rsidRPr="00AD60B9" w:rsidRDefault="0004772F" w:rsidP="0004772F">
            <w:pPr>
              <w:jc w:val="both"/>
              <w:rPr>
                <w:rFonts w:cstheme="minorHAnsi"/>
                <w:color w:val="000000" w:themeColor="text1"/>
              </w:rPr>
            </w:pPr>
            <w:r w:rsidRPr="00AD60B9">
              <w:rPr>
                <w:rFonts w:cstheme="minorHAnsi"/>
                <w:color w:val="000000" w:themeColor="text1"/>
              </w:rPr>
              <w:t>Ability for students to audit courses</w:t>
            </w:r>
          </w:p>
        </w:tc>
        <w:tc>
          <w:tcPr>
            <w:tcW w:w="5300" w:type="dxa"/>
            <w:shd w:val="clear" w:color="auto" w:fill="D6E3BC" w:themeFill="accent3" w:themeFillTint="66"/>
          </w:tcPr>
          <w:p w:rsidR="0004772F" w:rsidRPr="00AD60B9" w:rsidRDefault="0004772F" w:rsidP="0004772F">
            <w:pPr>
              <w:rPr>
                <w:rFonts w:cstheme="minorHAnsi"/>
              </w:rPr>
            </w:pPr>
            <w:r w:rsidRPr="00AD60B9">
              <w:rPr>
                <w:rFonts w:cstheme="minorHAnsi"/>
              </w:rPr>
              <w:t>Implementing course auditing will allow these students a pathway to refresh the skills they need before moving forward with higher level courses.  It is believed that allowing auditing of courses for students to refresh skills will increase success rates when the student enrolls in higher level courses</w:t>
            </w:r>
          </w:p>
        </w:tc>
        <w:tc>
          <w:tcPr>
            <w:tcW w:w="1422" w:type="dxa"/>
            <w:shd w:val="clear" w:color="auto" w:fill="D6E3BC" w:themeFill="accent3" w:themeFillTint="66"/>
          </w:tcPr>
          <w:p w:rsidR="0004772F" w:rsidRPr="00AD60B9" w:rsidRDefault="005A6799" w:rsidP="0004772F">
            <w:pPr>
              <w:rPr>
                <w:rFonts w:cstheme="minorHAnsi"/>
              </w:rPr>
            </w:pPr>
            <w:r w:rsidRPr="00AD60B9">
              <w:rPr>
                <w:rFonts w:cstheme="minorHAnsi"/>
              </w:rPr>
              <w:t>July 2017</w:t>
            </w:r>
          </w:p>
        </w:tc>
        <w:tc>
          <w:tcPr>
            <w:tcW w:w="1248" w:type="dxa"/>
            <w:shd w:val="clear" w:color="auto" w:fill="D6E3BC" w:themeFill="accent3" w:themeFillTint="66"/>
          </w:tcPr>
          <w:p w:rsidR="0004772F" w:rsidRPr="00AD60B9" w:rsidRDefault="0004772F" w:rsidP="0004772F">
            <w:pPr>
              <w:rPr>
                <w:rFonts w:cstheme="minorHAnsi"/>
              </w:rPr>
            </w:pPr>
            <w:r w:rsidRPr="00AD60B9">
              <w:rPr>
                <w:rFonts w:cstheme="minorHAnsi"/>
              </w:rPr>
              <w:t>200 hours</w:t>
            </w:r>
          </w:p>
        </w:tc>
        <w:tc>
          <w:tcPr>
            <w:tcW w:w="1062" w:type="dxa"/>
            <w:shd w:val="clear" w:color="auto" w:fill="D6E3BC" w:themeFill="accent3" w:themeFillTint="66"/>
          </w:tcPr>
          <w:p w:rsidR="0004772F" w:rsidRPr="00AD60B9" w:rsidRDefault="0004772F" w:rsidP="0004772F">
            <w:pPr>
              <w:rPr>
                <w:rFonts w:cstheme="minorHAnsi"/>
              </w:rPr>
            </w:pPr>
            <w:r w:rsidRPr="00AD60B9">
              <w:rPr>
                <w:rFonts w:cstheme="minorHAnsi"/>
              </w:rPr>
              <w:t>Time and materials</w:t>
            </w:r>
          </w:p>
        </w:tc>
        <w:tc>
          <w:tcPr>
            <w:tcW w:w="1929" w:type="dxa"/>
            <w:shd w:val="clear" w:color="auto" w:fill="D6E3BC" w:themeFill="accent3" w:themeFillTint="66"/>
          </w:tcPr>
          <w:p w:rsidR="0004772F" w:rsidRPr="00AD60B9" w:rsidRDefault="0004772F" w:rsidP="0004772F">
            <w:pPr>
              <w:rPr>
                <w:rFonts w:cstheme="minorHAnsi"/>
              </w:rPr>
            </w:pPr>
            <w:r w:rsidRPr="00AD60B9">
              <w:rPr>
                <w:rFonts w:cstheme="minorHAnsi"/>
              </w:rPr>
              <w:t>Joe Cabrales/Rebeccah Warren-Marlatt and April Dale-Carter/Ricky Shabazz</w:t>
            </w:r>
          </w:p>
        </w:tc>
      </w:tr>
      <w:tr w:rsidR="00984FAD" w:rsidRPr="009C1222" w:rsidTr="00AD60B9">
        <w:tc>
          <w:tcPr>
            <w:tcW w:w="797" w:type="dxa"/>
            <w:shd w:val="clear" w:color="auto" w:fill="D6E3BC" w:themeFill="accent3" w:themeFillTint="66"/>
          </w:tcPr>
          <w:p w:rsidR="00984FAD" w:rsidRPr="00AD60B9" w:rsidRDefault="00984FAD" w:rsidP="00984FAD">
            <w:pPr>
              <w:jc w:val="center"/>
              <w:rPr>
                <w:rFonts w:cstheme="minorHAnsi"/>
                <w:b/>
              </w:rPr>
            </w:pPr>
            <w:r w:rsidRPr="00AD60B9">
              <w:rPr>
                <w:rFonts w:cstheme="minorHAnsi"/>
                <w:b/>
              </w:rPr>
              <w:t>4</w:t>
            </w:r>
          </w:p>
        </w:tc>
        <w:tc>
          <w:tcPr>
            <w:tcW w:w="1710" w:type="dxa"/>
            <w:shd w:val="clear" w:color="auto" w:fill="D6E3BC" w:themeFill="accent3" w:themeFillTint="66"/>
          </w:tcPr>
          <w:p w:rsidR="00984FAD" w:rsidRPr="00AD60B9" w:rsidRDefault="00984FAD" w:rsidP="00984FAD">
            <w:pPr>
              <w:jc w:val="both"/>
              <w:rPr>
                <w:rFonts w:cstheme="minorHAnsi"/>
                <w:color w:val="000000" w:themeColor="text1"/>
              </w:rPr>
            </w:pPr>
            <w:r w:rsidRPr="00AD60B9">
              <w:rPr>
                <w:rFonts w:cstheme="minorHAnsi"/>
                <w:color w:val="000000" w:themeColor="text1"/>
              </w:rPr>
              <w:t>Chart of Account (ERP)</w:t>
            </w:r>
          </w:p>
        </w:tc>
        <w:tc>
          <w:tcPr>
            <w:tcW w:w="5300" w:type="dxa"/>
            <w:shd w:val="clear" w:color="auto" w:fill="D6E3BC" w:themeFill="accent3" w:themeFillTint="66"/>
          </w:tcPr>
          <w:p w:rsidR="00984FAD" w:rsidRPr="00AD60B9" w:rsidRDefault="00984FAD" w:rsidP="00984FAD">
            <w:pPr>
              <w:rPr>
                <w:sz w:val="20"/>
              </w:rPr>
            </w:pPr>
            <w:r w:rsidRPr="00AD60B9">
              <w:rPr>
                <w:sz w:val="20"/>
              </w:rPr>
              <w:t xml:space="preserve">With the implementation of the District’s new ERP system there have been district wide changes that need to be reflected in Colleague.  The District has chosen to change the Chart of Account string to be more in line with the State’s numbering schema found in the California Community Colleges Taxonomy of Programs. </w:t>
            </w:r>
          </w:p>
          <w:p w:rsidR="00984FAD" w:rsidRPr="00AD60B9" w:rsidRDefault="00984FAD" w:rsidP="00984FAD">
            <w:pPr>
              <w:rPr>
                <w:sz w:val="20"/>
              </w:rPr>
            </w:pPr>
          </w:p>
          <w:p w:rsidR="00984FAD" w:rsidRPr="00AD60B9" w:rsidRDefault="00984FAD" w:rsidP="00984FAD">
            <w:pPr>
              <w:rPr>
                <w:rFonts w:cstheme="minorHAnsi"/>
              </w:rPr>
            </w:pPr>
            <w:r w:rsidRPr="00AD60B9">
              <w:rPr>
                <w:sz w:val="20"/>
              </w:rPr>
              <w:lastRenderedPageBreak/>
              <w:t xml:space="preserve">Currently the colleges create contracts for their hourly and overload faculty that are printed out and sent to payroll.  If the system is not updated with the new Account numbers, then they will be wrong on the contracts.  Also the changes to the string schema should also be reflected in enrollment fees, financial aid awards, scholarships and sponsorships.  </w:t>
            </w:r>
          </w:p>
        </w:tc>
        <w:tc>
          <w:tcPr>
            <w:tcW w:w="1422" w:type="dxa"/>
            <w:shd w:val="clear" w:color="auto" w:fill="D6E3BC" w:themeFill="accent3" w:themeFillTint="66"/>
          </w:tcPr>
          <w:p w:rsidR="00984FAD" w:rsidRPr="00AD60B9" w:rsidRDefault="005A6799" w:rsidP="00984FAD">
            <w:pPr>
              <w:rPr>
                <w:rFonts w:cstheme="minorHAnsi"/>
              </w:rPr>
            </w:pPr>
            <w:r w:rsidRPr="00AD60B9">
              <w:rPr>
                <w:rFonts w:cstheme="minorHAnsi"/>
              </w:rPr>
              <w:lastRenderedPageBreak/>
              <w:t>July 2017</w:t>
            </w:r>
          </w:p>
        </w:tc>
        <w:tc>
          <w:tcPr>
            <w:tcW w:w="1248" w:type="dxa"/>
            <w:shd w:val="clear" w:color="auto" w:fill="D6E3BC" w:themeFill="accent3" w:themeFillTint="66"/>
          </w:tcPr>
          <w:p w:rsidR="00984FAD" w:rsidRPr="00AD60B9" w:rsidRDefault="00984FAD" w:rsidP="00984FAD">
            <w:pPr>
              <w:rPr>
                <w:rFonts w:cstheme="minorHAnsi"/>
              </w:rPr>
            </w:pPr>
            <w:r w:rsidRPr="00AD60B9">
              <w:rPr>
                <w:rFonts w:cstheme="minorHAnsi"/>
              </w:rPr>
              <w:t>100 hours</w:t>
            </w:r>
          </w:p>
        </w:tc>
        <w:tc>
          <w:tcPr>
            <w:tcW w:w="1062" w:type="dxa"/>
            <w:shd w:val="clear" w:color="auto" w:fill="D6E3BC" w:themeFill="accent3" w:themeFillTint="66"/>
          </w:tcPr>
          <w:p w:rsidR="00984FAD" w:rsidRPr="00AD60B9" w:rsidRDefault="00984FAD" w:rsidP="00984FAD">
            <w:pPr>
              <w:rPr>
                <w:rFonts w:cstheme="minorHAnsi"/>
              </w:rPr>
            </w:pPr>
            <w:r w:rsidRPr="00AD60B9">
              <w:rPr>
                <w:rFonts w:cstheme="minorHAnsi"/>
              </w:rPr>
              <w:t>Time and Materials</w:t>
            </w:r>
          </w:p>
        </w:tc>
        <w:tc>
          <w:tcPr>
            <w:tcW w:w="1929" w:type="dxa"/>
            <w:shd w:val="clear" w:color="auto" w:fill="D6E3BC" w:themeFill="accent3" w:themeFillTint="66"/>
          </w:tcPr>
          <w:p w:rsidR="00984FAD" w:rsidRPr="00AD60B9" w:rsidRDefault="00984FAD" w:rsidP="00984FAD">
            <w:pPr>
              <w:rPr>
                <w:rFonts w:cstheme="minorHAnsi"/>
              </w:rPr>
            </w:pPr>
            <w:r w:rsidRPr="00AD60B9">
              <w:rPr>
                <w:rFonts w:cstheme="minorHAnsi"/>
              </w:rPr>
              <w:t>Yvette Tram/Jose Torres</w:t>
            </w:r>
          </w:p>
        </w:tc>
      </w:tr>
      <w:tr w:rsidR="00984FAD" w:rsidRPr="009C1222" w:rsidTr="00AD60B9">
        <w:tc>
          <w:tcPr>
            <w:tcW w:w="797" w:type="dxa"/>
            <w:shd w:val="clear" w:color="auto" w:fill="D6E3BC" w:themeFill="accent3" w:themeFillTint="66"/>
          </w:tcPr>
          <w:p w:rsidR="00984FAD" w:rsidRPr="00AD60B9" w:rsidRDefault="00984FAD" w:rsidP="00984FAD">
            <w:pPr>
              <w:jc w:val="center"/>
              <w:rPr>
                <w:rFonts w:cstheme="minorHAnsi"/>
                <w:b/>
              </w:rPr>
            </w:pPr>
            <w:r w:rsidRPr="00AD60B9">
              <w:rPr>
                <w:rFonts w:cstheme="minorHAnsi"/>
                <w:b/>
              </w:rPr>
              <w:t>5</w:t>
            </w:r>
          </w:p>
        </w:tc>
        <w:tc>
          <w:tcPr>
            <w:tcW w:w="1710" w:type="dxa"/>
            <w:shd w:val="clear" w:color="auto" w:fill="D6E3BC" w:themeFill="accent3" w:themeFillTint="66"/>
          </w:tcPr>
          <w:p w:rsidR="00984FAD" w:rsidRPr="00AD60B9" w:rsidRDefault="00984FAD" w:rsidP="00984FAD">
            <w:pPr>
              <w:jc w:val="both"/>
              <w:rPr>
                <w:rFonts w:cstheme="minorHAnsi"/>
                <w:color w:val="000000" w:themeColor="text1"/>
              </w:rPr>
            </w:pPr>
            <w:r w:rsidRPr="00AD60B9">
              <w:rPr>
                <w:rFonts w:cstheme="minorHAnsi"/>
                <w:color w:val="000000" w:themeColor="text1"/>
              </w:rPr>
              <w:t>SLO Cloud Service Area Outcomes</w:t>
            </w:r>
          </w:p>
        </w:tc>
        <w:tc>
          <w:tcPr>
            <w:tcW w:w="5300" w:type="dxa"/>
            <w:shd w:val="clear" w:color="auto" w:fill="D6E3BC" w:themeFill="accent3" w:themeFillTint="66"/>
          </w:tcPr>
          <w:p w:rsidR="00984FAD" w:rsidRPr="00AD60B9" w:rsidRDefault="00984FAD" w:rsidP="00984FAD">
            <w:pPr>
              <w:rPr>
                <w:rFonts w:cstheme="minorHAnsi"/>
              </w:rPr>
            </w:pPr>
            <w:r w:rsidRPr="00AD60B9">
              <w:rPr>
                <w:rFonts w:cstheme="minorHAnsi"/>
              </w:rPr>
              <w:t>The purpose of this project is to update SLO Cloud to accommodate the entry of data and information related to program-level outcomes of service areas such as EOPS, maintenance, Library, etc…This is necessary for the 2016 follow-up report o ACCJC stating that a newly implemented cloud tool to accommodate service area outcomes was underway. The colleges wish to be able to demonstrate the use of the tool for their Midterm Repot to the commission. Currently there is no common repository for SAOs and every service areas process is different. The process for SAOs is not transparent to the college as a whole.</w:t>
            </w:r>
          </w:p>
        </w:tc>
        <w:tc>
          <w:tcPr>
            <w:tcW w:w="1422" w:type="dxa"/>
            <w:shd w:val="clear" w:color="auto" w:fill="D6E3BC" w:themeFill="accent3" w:themeFillTint="66"/>
          </w:tcPr>
          <w:p w:rsidR="00984FAD" w:rsidRPr="00AD60B9" w:rsidRDefault="005A6799" w:rsidP="00984FAD">
            <w:pPr>
              <w:rPr>
                <w:rFonts w:cstheme="minorHAnsi"/>
              </w:rPr>
            </w:pPr>
            <w:r w:rsidRPr="00AD60B9">
              <w:rPr>
                <w:rFonts w:cstheme="minorHAnsi"/>
              </w:rPr>
              <w:t>August 2017</w:t>
            </w:r>
          </w:p>
        </w:tc>
        <w:tc>
          <w:tcPr>
            <w:tcW w:w="1248" w:type="dxa"/>
            <w:shd w:val="clear" w:color="auto" w:fill="D6E3BC" w:themeFill="accent3" w:themeFillTint="66"/>
          </w:tcPr>
          <w:p w:rsidR="00984FAD" w:rsidRPr="00AD60B9" w:rsidRDefault="00984FAD" w:rsidP="00984FAD">
            <w:pPr>
              <w:rPr>
                <w:rFonts w:cstheme="minorHAnsi"/>
              </w:rPr>
            </w:pPr>
            <w:r w:rsidRPr="00AD60B9">
              <w:rPr>
                <w:rFonts w:cstheme="minorHAnsi"/>
              </w:rPr>
              <w:t>240 hours</w:t>
            </w:r>
          </w:p>
        </w:tc>
        <w:tc>
          <w:tcPr>
            <w:tcW w:w="1062" w:type="dxa"/>
            <w:shd w:val="clear" w:color="auto" w:fill="D6E3BC" w:themeFill="accent3" w:themeFillTint="66"/>
          </w:tcPr>
          <w:p w:rsidR="00984FAD" w:rsidRPr="00AD60B9" w:rsidRDefault="00984FAD" w:rsidP="00984FAD">
            <w:pPr>
              <w:rPr>
                <w:rFonts w:cstheme="minorHAnsi"/>
              </w:rPr>
            </w:pPr>
          </w:p>
        </w:tc>
        <w:tc>
          <w:tcPr>
            <w:tcW w:w="1929" w:type="dxa"/>
            <w:shd w:val="clear" w:color="auto" w:fill="D6E3BC" w:themeFill="accent3" w:themeFillTint="66"/>
          </w:tcPr>
          <w:p w:rsidR="00984FAD" w:rsidRPr="00AD60B9" w:rsidRDefault="00984FAD" w:rsidP="00984FAD">
            <w:pPr>
              <w:rPr>
                <w:rFonts w:cstheme="minorHAnsi"/>
              </w:rPr>
            </w:pPr>
            <w:r w:rsidRPr="00AD60B9">
              <w:rPr>
                <w:rFonts w:cstheme="minorHAnsi"/>
              </w:rPr>
              <w:t>Wei Zhou</w:t>
            </w:r>
          </w:p>
        </w:tc>
      </w:tr>
      <w:tr w:rsidR="00984FAD" w:rsidRPr="009C1222" w:rsidTr="004F7FB3">
        <w:tc>
          <w:tcPr>
            <w:tcW w:w="797" w:type="dxa"/>
          </w:tcPr>
          <w:p w:rsidR="00984FAD" w:rsidRDefault="00984FAD" w:rsidP="00984FAD">
            <w:pPr>
              <w:jc w:val="center"/>
              <w:rPr>
                <w:rFonts w:cstheme="minorHAnsi"/>
                <w:b/>
              </w:rPr>
            </w:pPr>
            <w:r>
              <w:rPr>
                <w:rFonts w:cstheme="minorHAnsi"/>
                <w:b/>
              </w:rPr>
              <w:t>6</w:t>
            </w:r>
          </w:p>
        </w:tc>
        <w:tc>
          <w:tcPr>
            <w:tcW w:w="1710" w:type="dxa"/>
          </w:tcPr>
          <w:p w:rsidR="00984FAD" w:rsidRDefault="00984FAD" w:rsidP="00984FAD">
            <w:pPr>
              <w:jc w:val="both"/>
              <w:rPr>
                <w:rFonts w:cstheme="minorHAnsi"/>
                <w:color w:val="000000" w:themeColor="text1"/>
              </w:rPr>
            </w:pPr>
            <w:r>
              <w:rPr>
                <w:rFonts w:cstheme="minorHAnsi"/>
                <w:color w:val="000000" w:themeColor="text1"/>
              </w:rPr>
              <w:t>BOG Eligibility between campuses</w:t>
            </w:r>
          </w:p>
        </w:tc>
        <w:tc>
          <w:tcPr>
            <w:tcW w:w="5300" w:type="dxa"/>
          </w:tcPr>
          <w:p w:rsidR="00984FAD" w:rsidRPr="0096350F" w:rsidRDefault="00984FAD" w:rsidP="00984FAD">
            <w:pPr>
              <w:rPr>
                <w:rFonts w:cstheme="minorHAnsi"/>
              </w:rPr>
            </w:pPr>
            <w:r w:rsidRPr="0096350F">
              <w:rPr>
                <w:rFonts w:cstheme="minorHAnsi"/>
              </w:rPr>
              <w:t>To comply with Title 5 regulations, the District must implement a process to identify students within the district who fail to meet the academic and progress standards for BOGFW and Priority Registration eligibility.  This request is made pursuant to the California Code of Regulations, Section 58621(a)(1) - Loss of Eligibility, which states:</w:t>
            </w:r>
          </w:p>
          <w:p w:rsidR="00984FAD" w:rsidRPr="0096350F" w:rsidRDefault="00984FAD" w:rsidP="00984FAD">
            <w:pPr>
              <w:rPr>
                <w:rFonts w:cstheme="minorHAnsi"/>
              </w:rPr>
            </w:pPr>
            <w:r w:rsidRPr="0096350F">
              <w:rPr>
                <w:rFonts w:cstheme="minorHAnsi"/>
              </w:rPr>
              <w:t>"Districts shall adopt policies providing that a student who is otherwise eligible for a Board of Governors (BOG) Fee Waiver shall become ineligible if the student is placed on academic or progress probation, as defined in section 55031(a) or (b), or any combination thereof for two consecutive primary terms</w:t>
            </w:r>
            <w:r>
              <w:rPr>
                <w:rFonts w:cstheme="minorHAnsi"/>
              </w:rPr>
              <w:t xml:space="preserve"> </w:t>
            </w:r>
            <w:r w:rsidRPr="0096350F">
              <w:rPr>
                <w:rFonts w:cstheme="minorHAnsi"/>
              </w:rPr>
              <w:t>"to determine if the student should be disqualified for BOGFW and Priority Registration at the two colleges.  The district does not currently have a way to automatically remove BOGFW/Priority Registration eligibility based on the student's probationary status.</w:t>
            </w:r>
          </w:p>
          <w:p w:rsidR="00984FAD" w:rsidRPr="0096350F" w:rsidRDefault="00984FAD" w:rsidP="00984FAD">
            <w:pPr>
              <w:rPr>
                <w:rFonts w:cstheme="minorHAnsi"/>
              </w:rPr>
            </w:pPr>
          </w:p>
          <w:p w:rsidR="00984FAD" w:rsidRPr="00B7056E" w:rsidRDefault="00984FAD" w:rsidP="00984FAD">
            <w:pPr>
              <w:rPr>
                <w:rFonts w:cstheme="minorHAnsi"/>
              </w:rPr>
            </w:pPr>
            <w:r w:rsidRPr="0096350F">
              <w:rPr>
                <w:rFonts w:cstheme="minorHAnsi"/>
              </w:rPr>
              <w:t>Currently, the district is out of compliance with Title 5 regulations.</w:t>
            </w:r>
          </w:p>
        </w:tc>
        <w:tc>
          <w:tcPr>
            <w:tcW w:w="1422" w:type="dxa"/>
          </w:tcPr>
          <w:p w:rsidR="00984FAD" w:rsidRDefault="005A6799" w:rsidP="00984FAD">
            <w:pPr>
              <w:rPr>
                <w:rFonts w:cstheme="minorHAnsi"/>
              </w:rPr>
            </w:pPr>
            <w:r>
              <w:rPr>
                <w:rFonts w:cstheme="minorHAnsi"/>
              </w:rPr>
              <w:t>TBD</w:t>
            </w:r>
          </w:p>
        </w:tc>
        <w:tc>
          <w:tcPr>
            <w:tcW w:w="1248" w:type="dxa"/>
          </w:tcPr>
          <w:p w:rsidR="00984FAD" w:rsidRDefault="00984FAD" w:rsidP="00984FAD">
            <w:pPr>
              <w:rPr>
                <w:rFonts w:cstheme="minorHAnsi"/>
              </w:rPr>
            </w:pPr>
            <w:r>
              <w:rPr>
                <w:rFonts w:cstheme="minorHAnsi"/>
              </w:rPr>
              <w:t>900</w:t>
            </w:r>
          </w:p>
        </w:tc>
        <w:tc>
          <w:tcPr>
            <w:tcW w:w="1062" w:type="dxa"/>
          </w:tcPr>
          <w:p w:rsidR="00984FAD" w:rsidRDefault="00984FAD" w:rsidP="00984FAD">
            <w:pPr>
              <w:rPr>
                <w:rFonts w:cstheme="minorHAnsi"/>
              </w:rPr>
            </w:pPr>
            <w:r>
              <w:rPr>
                <w:rFonts w:cstheme="minorHAnsi"/>
              </w:rPr>
              <w:t>Time and Materials</w:t>
            </w:r>
          </w:p>
        </w:tc>
        <w:tc>
          <w:tcPr>
            <w:tcW w:w="1929" w:type="dxa"/>
          </w:tcPr>
          <w:p w:rsidR="00984FAD" w:rsidRDefault="00984FAD" w:rsidP="00984FAD">
            <w:pPr>
              <w:rPr>
                <w:rFonts w:cstheme="minorHAnsi"/>
              </w:rPr>
            </w:pPr>
            <w:r>
              <w:rPr>
                <w:rFonts w:cstheme="minorHAnsi"/>
              </w:rPr>
              <w:t>Joe Cabrales/Rebeccah Warren-Marlatt and Ricky Shabazz</w:t>
            </w:r>
          </w:p>
        </w:tc>
      </w:tr>
      <w:tr w:rsidR="00DA7AEB" w:rsidRPr="009C1222" w:rsidTr="004F7FB3">
        <w:tc>
          <w:tcPr>
            <w:tcW w:w="797" w:type="dxa"/>
          </w:tcPr>
          <w:p w:rsidR="00DA7AEB" w:rsidRDefault="00DA7AEB" w:rsidP="00DA7AEB">
            <w:pPr>
              <w:jc w:val="center"/>
              <w:rPr>
                <w:rFonts w:cstheme="minorHAnsi"/>
                <w:b/>
              </w:rPr>
            </w:pPr>
            <w:r>
              <w:rPr>
                <w:rFonts w:cstheme="minorHAnsi"/>
                <w:b/>
              </w:rPr>
              <w:lastRenderedPageBreak/>
              <w:t>7</w:t>
            </w:r>
          </w:p>
        </w:tc>
        <w:tc>
          <w:tcPr>
            <w:tcW w:w="1710" w:type="dxa"/>
          </w:tcPr>
          <w:p w:rsidR="00DA7AEB" w:rsidRDefault="00DA7AEB" w:rsidP="00DA7AEB">
            <w:pPr>
              <w:jc w:val="both"/>
              <w:rPr>
                <w:rFonts w:cstheme="minorHAnsi"/>
                <w:color w:val="000000" w:themeColor="text1"/>
              </w:rPr>
            </w:pPr>
            <w:proofErr w:type="spellStart"/>
            <w:r>
              <w:rPr>
                <w:rFonts w:cstheme="minorHAnsi"/>
                <w:color w:val="000000" w:themeColor="text1"/>
              </w:rPr>
              <w:t>Maxient</w:t>
            </w:r>
            <w:proofErr w:type="spellEnd"/>
            <w:r>
              <w:rPr>
                <w:rFonts w:cstheme="minorHAnsi"/>
                <w:color w:val="000000" w:themeColor="text1"/>
              </w:rPr>
              <w:t xml:space="preserve"> Student Conduct Software</w:t>
            </w:r>
          </w:p>
        </w:tc>
        <w:tc>
          <w:tcPr>
            <w:tcW w:w="5300" w:type="dxa"/>
          </w:tcPr>
          <w:p w:rsidR="00DA7AEB" w:rsidRDefault="00DA7AEB" w:rsidP="00DA7AEB">
            <w:pPr>
              <w:rPr>
                <w:sz w:val="20"/>
              </w:rPr>
            </w:pPr>
            <w:proofErr w:type="spellStart"/>
            <w:r>
              <w:rPr>
                <w:sz w:val="20"/>
              </w:rPr>
              <w:t>Maxient</w:t>
            </w:r>
            <w:proofErr w:type="spellEnd"/>
            <w:r>
              <w:rPr>
                <w:sz w:val="20"/>
              </w:rPr>
              <w:t xml:space="preserve"> software has been purchased to manage all aspects of student conduct, Title IX and Behavioral Intervention strategies for both SBVC and CHC.  This software will serve as an integral component at our schools to manage conduct cases, identify students who need early intervention and to communicate effectively with employees across both institutions.  </w:t>
            </w:r>
          </w:p>
          <w:p w:rsidR="00DA7AEB" w:rsidRDefault="00DA7AEB" w:rsidP="00DA7AEB">
            <w:pPr>
              <w:rPr>
                <w:sz w:val="20"/>
              </w:rPr>
            </w:pPr>
          </w:p>
          <w:p w:rsidR="00DA7AEB" w:rsidRDefault="00DA7AEB" w:rsidP="00DA7AEB">
            <w:pPr>
              <w:rPr>
                <w:rFonts w:cstheme="minorHAnsi"/>
              </w:rPr>
            </w:pPr>
            <w:proofErr w:type="spellStart"/>
            <w:r>
              <w:rPr>
                <w:sz w:val="20"/>
              </w:rPr>
              <w:t>Maxient</w:t>
            </w:r>
            <w:proofErr w:type="spellEnd"/>
            <w:r>
              <w:rPr>
                <w:sz w:val="20"/>
              </w:rPr>
              <w:t xml:space="preserve"> will be utilized by faculty, staff, managers, conduct officers and mental health professionals.  Students will have the opportunity to communicate to a professional about a peer in distress who may need support from the college.  Currently both colleges do not have a reliable and shared system that is FERPA compliant and supported by leading industry specialist (</w:t>
            </w:r>
            <w:proofErr w:type="spellStart"/>
            <w:r>
              <w:rPr>
                <w:sz w:val="20"/>
              </w:rPr>
              <w:t>atIXa</w:t>
            </w:r>
            <w:proofErr w:type="spellEnd"/>
            <w:r>
              <w:rPr>
                <w:sz w:val="20"/>
              </w:rPr>
              <w:t xml:space="preserve"> and </w:t>
            </w:r>
            <w:proofErr w:type="spellStart"/>
            <w:r>
              <w:rPr>
                <w:sz w:val="20"/>
              </w:rPr>
              <w:t>NaBITA</w:t>
            </w:r>
            <w:proofErr w:type="spellEnd"/>
            <w:r>
              <w:rPr>
                <w:sz w:val="20"/>
              </w:rPr>
              <w:t xml:space="preserve">.)  This system and the purpose for it is a best practice by colleges and universities.  </w:t>
            </w:r>
          </w:p>
        </w:tc>
        <w:tc>
          <w:tcPr>
            <w:tcW w:w="1422" w:type="dxa"/>
          </w:tcPr>
          <w:p w:rsidR="00DA7AEB" w:rsidRDefault="00DA7AEB" w:rsidP="00DA7AEB">
            <w:pPr>
              <w:rPr>
                <w:rFonts w:cstheme="minorHAnsi"/>
              </w:rPr>
            </w:pPr>
            <w:r>
              <w:rPr>
                <w:rFonts w:cstheme="minorHAnsi"/>
              </w:rPr>
              <w:t>TBD</w:t>
            </w:r>
          </w:p>
        </w:tc>
        <w:tc>
          <w:tcPr>
            <w:tcW w:w="1248" w:type="dxa"/>
          </w:tcPr>
          <w:p w:rsidR="00DA7AEB" w:rsidRDefault="00DA7AEB" w:rsidP="00DA7AEB">
            <w:pPr>
              <w:rPr>
                <w:rFonts w:cstheme="minorHAnsi"/>
              </w:rPr>
            </w:pPr>
            <w:r>
              <w:rPr>
                <w:rFonts w:cstheme="minorHAnsi"/>
              </w:rPr>
              <w:t>420 hours</w:t>
            </w:r>
          </w:p>
        </w:tc>
        <w:tc>
          <w:tcPr>
            <w:tcW w:w="1062" w:type="dxa"/>
          </w:tcPr>
          <w:p w:rsidR="00DA7AEB" w:rsidRDefault="00DA7AEB" w:rsidP="00DA7AEB">
            <w:pPr>
              <w:rPr>
                <w:rFonts w:cstheme="minorHAnsi"/>
              </w:rPr>
            </w:pPr>
          </w:p>
        </w:tc>
        <w:tc>
          <w:tcPr>
            <w:tcW w:w="1929" w:type="dxa"/>
          </w:tcPr>
          <w:p w:rsidR="00DA7AEB" w:rsidRDefault="00DA7AEB" w:rsidP="00DA7AEB">
            <w:pPr>
              <w:rPr>
                <w:rFonts w:cstheme="minorHAnsi"/>
              </w:rPr>
            </w:pPr>
            <w:r>
              <w:rPr>
                <w:rFonts w:cstheme="minorHAnsi"/>
              </w:rPr>
              <w:t>Raymond Carlos/Ricky Shabazz and Joe Cabrales/Rebeccah Warren-Marlatt</w:t>
            </w:r>
          </w:p>
        </w:tc>
      </w:tr>
      <w:tr w:rsidR="00DA7AEB" w:rsidRPr="009C1222" w:rsidTr="004F7FB3">
        <w:tc>
          <w:tcPr>
            <w:tcW w:w="797" w:type="dxa"/>
          </w:tcPr>
          <w:p w:rsidR="00DA7AEB" w:rsidRDefault="00DA7AEB" w:rsidP="00DA7AEB">
            <w:pPr>
              <w:jc w:val="center"/>
              <w:rPr>
                <w:rFonts w:cstheme="minorHAnsi"/>
                <w:b/>
              </w:rPr>
            </w:pPr>
            <w:r>
              <w:rPr>
                <w:rFonts w:cstheme="minorHAnsi"/>
                <w:b/>
              </w:rPr>
              <w:t>8</w:t>
            </w:r>
          </w:p>
        </w:tc>
        <w:tc>
          <w:tcPr>
            <w:tcW w:w="1710" w:type="dxa"/>
          </w:tcPr>
          <w:p w:rsidR="00DA7AEB" w:rsidRDefault="00DA7AEB" w:rsidP="00DA7AEB">
            <w:pPr>
              <w:jc w:val="both"/>
              <w:rPr>
                <w:rFonts w:cstheme="minorHAnsi"/>
                <w:color w:val="000000" w:themeColor="text1"/>
              </w:rPr>
            </w:pPr>
            <w:r>
              <w:rPr>
                <w:rFonts w:cstheme="minorHAnsi"/>
                <w:color w:val="000000" w:themeColor="text1"/>
              </w:rPr>
              <w:t>Coding of Residency status</w:t>
            </w:r>
          </w:p>
        </w:tc>
        <w:tc>
          <w:tcPr>
            <w:tcW w:w="5300" w:type="dxa"/>
          </w:tcPr>
          <w:p w:rsidR="00DA7AEB" w:rsidRPr="0090503F" w:rsidRDefault="00DA7AEB" w:rsidP="00DA7AEB">
            <w:pPr>
              <w:rPr>
                <w:sz w:val="20"/>
              </w:rPr>
            </w:pPr>
            <w:r w:rsidRPr="0090503F">
              <w:rPr>
                <w:sz w:val="20"/>
              </w:rPr>
              <w:t xml:space="preserve">Currently, when students are identified as possible California residents they are imported into the SIS with a residency status code of 80000, which in CCCOMIS refers to international students.  As a result, when reporting to the State, Crafton shows an international population of approximately 200 students and Valley 550 students. None of the students are identified as out-of-state.  In actuality, District wide there are approximately 30 international students. </w:t>
            </w:r>
          </w:p>
          <w:p w:rsidR="00DA7AEB" w:rsidRPr="0090503F" w:rsidRDefault="00DA7AEB" w:rsidP="00DA7AEB">
            <w:pPr>
              <w:rPr>
                <w:sz w:val="20"/>
              </w:rPr>
            </w:pPr>
          </w:p>
          <w:p w:rsidR="00DA7AEB" w:rsidRDefault="00DA7AEB" w:rsidP="00DA7AEB">
            <w:pPr>
              <w:rPr>
                <w:sz w:val="20"/>
              </w:rPr>
            </w:pPr>
            <w:r w:rsidRPr="0090503F">
              <w:rPr>
                <w:sz w:val="20"/>
              </w:rPr>
              <w:t xml:space="preserve">Instead of defaulting to a code of 80000 for students who may be a California resident, the DAWG Committee (see January 4, 2017 minutes) wants these students to default to a code of 6XXXX.  A code of 6XXXX refers to a US state that is unknown and would provide a more reflection of the students in the SBCCD.  </w:t>
            </w:r>
          </w:p>
          <w:p w:rsidR="00DA7AEB" w:rsidRPr="0090503F" w:rsidRDefault="00DA7AEB" w:rsidP="00DA7AEB">
            <w:pPr>
              <w:rPr>
                <w:sz w:val="20"/>
              </w:rPr>
            </w:pPr>
          </w:p>
          <w:p w:rsidR="00DA7AEB" w:rsidRDefault="00DA7AEB" w:rsidP="00DA7AEB">
            <w:pPr>
              <w:rPr>
                <w:sz w:val="20"/>
              </w:rPr>
            </w:pPr>
            <w:r w:rsidRPr="0090503F">
              <w:rPr>
                <w:sz w:val="20"/>
              </w:rPr>
              <w:t>Making the above change is preferable to leaving the system as is; however, if we stop there we will still only be correctly identifying the out-of-state students and none of the international students would be correctly identified.</w:t>
            </w:r>
          </w:p>
        </w:tc>
        <w:tc>
          <w:tcPr>
            <w:tcW w:w="1422" w:type="dxa"/>
          </w:tcPr>
          <w:p w:rsidR="00DA7AEB" w:rsidRDefault="00DA7AEB" w:rsidP="00DA7AEB">
            <w:pPr>
              <w:rPr>
                <w:rFonts w:cstheme="minorHAnsi"/>
              </w:rPr>
            </w:pPr>
            <w:r>
              <w:rPr>
                <w:rFonts w:cstheme="minorHAnsi"/>
              </w:rPr>
              <w:t>TBD</w:t>
            </w:r>
          </w:p>
        </w:tc>
        <w:tc>
          <w:tcPr>
            <w:tcW w:w="1248" w:type="dxa"/>
          </w:tcPr>
          <w:p w:rsidR="00DA7AEB" w:rsidRDefault="00DA7AEB" w:rsidP="00DA7AEB">
            <w:pPr>
              <w:rPr>
                <w:rFonts w:cstheme="minorHAnsi"/>
              </w:rPr>
            </w:pPr>
            <w:r>
              <w:rPr>
                <w:rFonts w:cstheme="minorHAnsi"/>
              </w:rPr>
              <w:t>55 hours</w:t>
            </w:r>
          </w:p>
        </w:tc>
        <w:tc>
          <w:tcPr>
            <w:tcW w:w="1062" w:type="dxa"/>
          </w:tcPr>
          <w:p w:rsidR="00DA7AEB" w:rsidRDefault="00DA7AEB" w:rsidP="00DA7AEB">
            <w:pPr>
              <w:rPr>
                <w:rFonts w:cstheme="minorHAnsi"/>
              </w:rPr>
            </w:pPr>
            <w:r>
              <w:rPr>
                <w:rFonts w:cstheme="minorHAnsi"/>
              </w:rPr>
              <w:t>Time and materials</w:t>
            </w:r>
          </w:p>
        </w:tc>
        <w:tc>
          <w:tcPr>
            <w:tcW w:w="1929" w:type="dxa"/>
          </w:tcPr>
          <w:p w:rsidR="00DA7AEB" w:rsidRDefault="00DA7AEB" w:rsidP="00DA7AEB">
            <w:pPr>
              <w:rPr>
                <w:rFonts w:cstheme="minorHAnsi"/>
              </w:rPr>
            </w:pPr>
            <w:r>
              <w:rPr>
                <w:rFonts w:cstheme="minorHAnsi"/>
              </w:rPr>
              <w:t>Keith Wurtz/Rebeccah Warren-Marlatt</w:t>
            </w:r>
          </w:p>
        </w:tc>
      </w:tr>
      <w:tr w:rsidR="00DA7AEB" w:rsidRPr="009C1222" w:rsidTr="004F7FB3">
        <w:tc>
          <w:tcPr>
            <w:tcW w:w="797" w:type="dxa"/>
          </w:tcPr>
          <w:p w:rsidR="00DA7AEB" w:rsidRDefault="00DA7AEB" w:rsidP="00DA7AEB">
            <w:pPr>
              <w:jc w:val="center"/>
              <w:rPr>
                <w:rFonts w:cstheme="minorHAnsi"/>
                <w:b/>
              </w:rPr>
            </w:pPr>
          </w:p>
        </w:tc>
        <w:tc>
          <w:tcPr>
            <w:tcW w:w="1710" w:type="dxa"/>
          </w:tcPr>
          <w:p w:rsidR="00DA7AEB" w:rsidRDefault="00DA7AEB" w:rsidP="00DA7AEB">
            <w:pPr>
              <w:jc w:val="both"/>
              <w:rPr>
                <w:rFonts w:cstheme="minorHAnsi"/>
                <w:color w:val="000000" w:themeColor="text1"/>
              </w:rPr>
            </w:pPr>
          </w:p>
        </w:tc>
        <w:tc>
          <w:tcPr>
            <w:tcW w:w="5300" w:type="dxa"/>
          </w:tcPr>
          <w:p w:rsidR="00DA7AEB" w:rsidRPr="00462F02" w:rsidRDefault="00DA7AEB" w:rsidP="00DA7AEB">
            <w:pPr>
              <w:rPr>
                <w:rFonts w:cstheme="minorHAnsi"/>
              </w:rPr>
            </w:pPr>
          </w:p>
        </w:tc>
        <w:tc>
          <w:tcPr>
            <w:tcW w:w="1422" w:type="dxa"/>
          </w:tcPr>
          <w:p w:rsidR="00DA7AEB" w:rsidRDefault="00DA7AEB" w:rsidP="00DA7AEB">
            <w:pPr>
              <w:rPr>
                <w:rFonts w:cstheme="minorHAnsi"/>
              </w:rPr>
            </w:pPr>
          </w:p>
        </w:tc>
        <w:tc>
          <w:tcPr>
            <w:tcW w:w="1248" w:type="dxa"/>
          </w:tcPr>
          <w:p w:rsidR="00DA7AEB" w:rsidRDefault="00DA7AEB" w:rsidP="00DA7AEB">
            <w:pPr>
              <w:rPr>
                <w:rFonts w:cstheme="minorHAnsi"/>
              </w:rPr>
            </w:pPr>
          </w:p>
        </w:tc>
        <w:tc>
          <w:tcPr>
            <w:tcW w:w="1062" w:type="dxa"/>
          </w:tcPr>
          <w:p w:rsidR="00DA7AEB" w:rsidRDefault="00DA7AEB" w:rsidP="00DA7AEB">
            <w:pPr>
              <w:rPr>
                <w:rFonts w:cstheme="minorHAnsi"/>
              </w:rPr>
            </w:pPr>
          </w:p>
        </w:tc>
        <w:tc>
          <w:tcPr>
            <w:tcW w:w="1929" w:type="dxa"/>
          </w:tcPr>
          <w:p w:rsidR="00DA7AEB" w:rsidRDefault="00DA7AEB" w:rsidP="00DA7AEB">
            <w:pPr>
              <w:rPr>
                <w:rFonts w:cstheme="minorHAnsi"/>
              </w:rPr>
            </w:pPr>
          </w:p>
        </w:tc>
      </w:tr>
    </w:tbl>
    <w:p w:rsidR="00BE6A32" w:rsidRDefault="00BE6A32">
      <w:pPr>
        <w:rPr>
          <w:rFonts w:cstheme="minorHAnsi"/>
        </w:rPr>
      </w:pPr>
    </w:p>
    <w:p w:rsidR="00EC21FC" w:rsidRDefault="00EC21FC">
      <w:pPr>
        <w:rPr>
          <w:rFonts w:cstheme="minorHAnsi"/>
          <w:b/>
          <w:sz w:val="28"/>
          <w:u w:val="single"/>
        </w:rPr>
      </w:pPr>
    </w:p>
    <w:p w:rsidR="00C97BA0" w:rsidRDefault="00C97BA0">
      <w:pPr>
        <w:rPr>
          <w:rFonts w:cstheme="minorHAnsi"/>
          <w:b/>
          <w:sz w:val="28"/>
          <w:u w:val="single"/>
        </w:rPr>
      </w:pPr>
    </w:p>
    <w:tbl>
      <w:tblPr>
        <w:tblStyle w:val="TableGrid"/>
        <w:tblW w:w="13438" w:type="dxa"/>
        <w:tblInd w:w="-792" w:type="dxa"/>
        <w:tblLook w:val="04A0" w:firstRow="1" w:lastRow="0" w:firstColumn="1" w:lastColumn="0" w:noHBand="0" w:noVBand="1"/>
      </w:tblPr>
      <w:tblGrid>
        <w:gridCol w:w="797"/>
        <w:gridCol w:w="1510"/>
        <w:gridCol w:w="5235"/>
        <w:gridCol w:w="1570"/>
        <w:gridCol w:w="1248"/>
        <w:gridCol w:w="1136"/>
        <w:gridCol w:w="1942"/>
      </w:tblGrid>
      <w:tr w:rsidR="003F0B9D" w:rsidRPr="009C1222" w:rsidTr="00AD60B9">
        <w:tc>
          <w:tcPr>
            <w:tcW w:w="797" w:type="dxa"/>
            <w:tcBorders>
              <w:bottom w:val="single" w:sz="4" w:space="0" w:color="auto"/>
            </w:tcBorders>
          </w:tcPr>
          <w:p w:rsidR="003F0B9D" w:rsidRPr="00F85CA9" w:rsidRDefault="003F0B9D" w:rsidP="00B70ACC">
            <w:pPr>
              <w:jc w:val="center"/>
              <w:rPr>
                <w:rFonts w:cstheme="minorHAnsi"/>
                <w:b/>
                <w:sz w:val="28"/>
                <w:szCs w:val="28"/>
              </w:rPr>
            </w:pPr>
            <w:r w:rsidRPr="00F85CA9">
              <w:rPr>
                <w:rFonts w:cstheme="minorHAnsi"/>
                <w:b/>
                <w:sz w:val="28"/>
                <w:szCs w:val="28"/>
              </w:rPr>
              <w:t>Rank</w:t>
            </w:r>
          </w:p>
        </w:tc>
        <w:tc>
          <w:tcPr>
            <w:tcW w:w="1513" w:type="dxa"/>
            <w:tcBorders>
              <w:bottom w:val="single" w:sz="4" w:space="0" w:color="auto"/>
            </w:tcBorders>
          </w:tcPr>
          <w:p w:rsidR="003F0B9D" w:rsidRPr="00F85CA9" w:rsidRDefault="003F0B9D" w:rsidP="00B70ACC">
            <w:pPr>
              <w:rPr>
                <w:rFonts w:cstheme="minorHAnsi"/>
                <w:b/>
                <w:sz w:val="28"/>
                <w:szCs w:val="28"/>
              </w:rPr>
            </w:pPr>
            <w:r w:rsidRPr="00F85CA9">
              <w:rPr>
                <w:rFonts w:cstheme="minorHAnsi"/>
                <w:b/>
                <w:sz w:val="28"/>
                <w:szCs w:val="28"/>
              </w:rPr>
              <w:t>Project Title</w:t>
            </w:r>
          </w:p>
        </w:tc>
        <w:tc>
          <w:tcPr>
            <w:tcW w:w="5518" w:type="dxa"/>
            <w:tcBorders>
              <w:bottom w:val="single" w:sz="4" w:space="0" w:color="auto"/>
            </w:tcBorders>
          </w:tcPr>
          <w:p w:rsidR="003F0B9D" w:rsidRPr="00F85CA9" w:rsidRDefault="003F0B9D" w:rsidP="00B70ACC">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Vendor</w:t>
            </w:r>
            <w:r w:rsidR="00F85CA9" w:rsidRPr="00F85CA9">
              <w:rPr>
                <w:rFonts w:cstheme="minorHAnsi"/>
                <w:b/>
                <w:sz w:val="28"/>
                <w:szCs w:val="28"/>
              </w:rPr>
              <w:t xml:space="preserve"> Projects</w:t>
            </w:r>
          </w:p>
        </w:tc>
        <w:tc>
          <w:tcPr>
            <w:tcW w:w="1284" w:type="dxa"/>
            <w:tcBorders>
              <w:bottom w:val="single" w:sz="4" w:space="0" w:color="auto"/>
            </w:tcBorders>
          </w:tcPr>
          <w:p w:rsidR="003F0B9D" w:rsidRPr="00F85CA9" w:rsidRDefault="005A6799" w:rsidP="00B70ACC">
            <w:pPr>
              <w:jc w:val="center"/>
              <w:rPr>
                <w:rFonts w:cstheme="minorHAnsi"/>
                <w:b/>
                <w:sz w:val="28"/>
                <w:szCs w:val="28"/>
              </w:rPr>
            </w:pPr>
            <w:r>
              <w:rPr>
                <w:rFonts w:cstheme="minorHAnsi"/>
                <w:b/>
                <w:sz w:val="28"/>
                <w:szCs w:val="28"/>
              </w:rPr>
              <w:t>Est. Completion</w:t>
            </w:r>
          </w:p>
        </w:tc>
        <w:tc>
          <w:tcPr>
            <w:tcW w:w="1248" w:type="dxa"/>
            <w:tcBorders>
              <w:bottom w:val="single" w:sz="4" w:space="0" w:color="auto"/>
            </w:tcBorders>
          </w:tcPr>
          <w:p w:rsidR="003F0B9D" w:rsidRPr="00F85CA9" w:rsidRDefault="003F0B9D" w:rsidP="00B70ACC">
            <w:pPr>
              <w:jc w:val="center"/>
              <w:rPr>
                <w:rFonts w:cstheme="minorHAnsi"/>
                <w:b/>
                <w:sz w:val="28"/>
                <w:szCs w:val="28"/>
              </w:rPr>
            </w:pPr>
            <w:r w:rsidRPr="00F85CA9">
              <w:rPr>
                <w:rFonts w:cstheme="minorHAnsi"/>
                <w:b/>
                <w:sz w:val="28"/>
                <w:szCs w:val="28"/>
              </w:rPr>
              <w:t>Duration</w:t>
            </w:r>
          </w:p>
        </w:tc>
        <w:tc>
          <w:tcPr>
            <w:tcW w:w="1136" w:type="dxa"/>
            <w:tcBorders>
              <w:bottom w:val="single" w:sz="4" w:space="0" w:color="auto"/>
            </w:tcBorders>
          </w:tcPr>
          <w:p w:rsidR="003F0B9D" w:rsidRPr="00F85CA9" w:rsidRDefault="003F0B9D" w:rsidP="00B70ACC">
            <w:pPr>
              <w:jc w:val="center"/>
              <w:rPr>
                <w:rFonts w:cstheme="minorHAnsi"/>
                <w:b/>
                <w:sz w:val="28"/>
                <w:szCs w:val="28"/>
              </w:rPr>
            </w:pPr>
            <w:r w:rsidRPr="00F85CA9">
              <w:rPr>
                <w:rFonts w:cstheme="minorHAnsi"/>
                <w:b/>
                <w:sz w:val="28"/>
                <w:szCs w:val="28"/>
              </w:rPr>
              <w:t>Cost</w:t>
            </w:r>
          </w:p>
        </w:tc>
        <w:tc>
          <w:tcPr>
            <w:tcW w:w="1942" w:type="dxa"/>
            <w:tcBorders>
              <w:bottom w:val="single" w:sz="4" w:space="0" w:color="auto"/>
            </w:tcBorders>
          </w:tcPr>
          <w:p w:rsidR="003F0B9D" w:rsidRPr="00F85CA9" w:rsidRDefault="003F0B9D" w:rsidP="00B70ACC">
            <w:pPr>
              <w:jc w:val="center"/>
              <w:rPr>
                <w:rFonts w:cstheme="minorHAnsi"/>
                <w:b/>
                <w:sz w:val="28"/>
                <w:szCs w:val="28"/>
              </w:rPr>
            </w:pPr>
            <w:r w:rsidRPr="00F85CA9">
              <w:rPr>
                <w:rFonts w:cstheme="minorHAnsi"/>
                <w:b/>
                <w:sz w:val="28"/>
                <w:szCs w:val="28"/>
              </w:rPr>
              <w:t>Sponsor</w:t>
            </w:r>
          </w:p>
        </w:tc>
      </w:tr>
      <w:tr w:rsidR="003F0B9D" w:rsidRPr="00AD60B9" w:rsidTr="00AD60B9">
        <w:tc>
          <w:tcPr>
            <w:tcW w:w="797" w:type="dxa"/>
            <w:shd w:val="clear" w:color="auto" w:fill="D6E3BC" w:themeFill="accent3" w:themeFillTint="66"/>
          </w:tcPr>
          <w:p w:rsidR="003F0B9D" w:rsidRPr="00AD60B9" w:rsidRDefault="00F52585" w:rsidP="00BE6A32">
            <w:pPr>
              <w:jc w:val="center"/>
              <w:rPr>
                <w:rFonts w:cstheme="minorHAnsi"/>
                <w:b/>
              </w:rPr>
            </w:pPr>
            <w:bookmarkStart w:id="0" w:name="_GoBack"/>
            <w:r w:rsidRPr="00AD60B9">
              <w:rPr>
                <w:rFonts w:cstheme="minorHAnsi"/>
                <w:b/>
              </w:rPr>
              <w:t>1</w:t>
            </w:r>
          </w:p>
        </w:tc>
        <w:tc>
          <w:tcPr>
            <w:tcW w:w="1513" w:type="dxa"/>
            <w:shd w:val="clear" w:color="auto" w:fill="D6E3BC" w:themeFill="accent3" w:themeFillTint="66"/>
          </w:tcPr>
          <w:p w:rsidR="003F0B9D" w:rsidRPr="00AD60B9" w:rsidRDefault="003F0B9D" w:rsidP="00BE6A32">
            <w:pPr>
              <w:rPr>
                <w:rFonts w:cstheme="minorHAnsi"/>
                <w:color w:val="000000" w:themeColor="text1"/>
              </w:rPr>
            </w:pPr>
            <w:r w:rsidRPr="00AD60B9">
              <w:rPr>
                <w:rFonts w:cstheme="minorHAnsi"/>
                <w:color w:val="000000" w:themeColor="text1"/>
              </w:rPr>
              <w:t>EPTDAS</w:t>
            </w:r>
          </w:p>
          <w:p w:rsidR="003F0B9D" w:rsidRPr="00AD60B9" w:rsidRDefault="003F0B9D" w:rsidP="00BE6A32">
            <w:pPr>
              <w:rPr>
                <w:rFonts w:cstheme="minorHAnsi"/>
              </w:rPr>
            </w:pPr>
          </w:p>
        </w:tc>
        <w:tc>
          <w:tcPr>
            <w:tcW w:w="5518" w:type="dxa"/>
            <w:shd w:val="clear" w:color="auto" w:fill="D6E3BC" w:themeFill="accent3" w:themeFillTint="66"/>
          </w:tcPr>
          <w:p w:rsidR="003F0B9D" w:rsidRPr="00AD60B9" w:rsidRDefault="003F0B9D" w:rsidP="00BE6A32">
            <w:pPr>
              <w:rPr>
                <w:rFonts w:cstheme="minorHAnsi"/>
              </w:rPr>
            </w:pPr>
            <w:r w:rsidRPr="00AD60B9">
              <w:rPr>
                <w:rFonts w:cstheme="minorHAnsi"/>
              </w:rPr>
              <w:t xml:space="preserve">This project request comes from CHC as they signed on to be a pilot college for the CCCCO’s Education Planning and Degree audit initiative.  This initiative creates a centralized platform that all 112 CCC’s can eventually make use of that encompasses Degree Audit, Ed Planning, Early Alert and Connect.  </w:t>
            </w:r>
          </w:p>
          <w:p w:rsidR="003F0B9D" w:rsidRPr="00AD60B9" w:rsidRDefault="003F0B9D" w:rsidP="00BE6A32">
            <w:pPr>
              <w:rPr>
                <w:rFonts w:cstheme="minorHAnsi"/>
              </w:rPr>
            </w:pPr>
          </w:p>
          <w:p w:rsidR="003F0B9D" w:rsidRPr="00AD60B9" w:rsidRDefault="003F0B9D" w:rsidP="00364BCD">
            <w:pPr>
              <w:rPr>
                <w:rFonts w:cstheme="minorHAnsi"/>
              </w:rPr>
            </w:pPr>
          </w:p>
        </w:tc>
        <w:tc>
          <w:tcPr>
            <w:tcW w:w="1284" w:type="dxa"/>
            <w:shd w:val="clear" w:color="auto" w:fill="D6E3BC" w:themeFill="accent3" w:themeFillTint="66"/>
          </w:tcPr>
          <w:p w:rsidR="003F0B9D" w:rsidRPr="00AD60B9" w:rsidRDefault="005A6799" w:rsidP="00BE6A32">
            <w:pPr>
              <w:rPr>
                <w:rFonts w:cstheme="minorHAnsi"/>
              </w:rPr>
            </w:pPr>
            <w:r w:rsidRPr="00AD60B9">
              <w:rPr>
                <w:rFonts w:cstheme="minorHAnsi"/>
              </w:rPr>
              <w:t>June 2018</w:t>
            </w:r>
          </w:p>
        </w:tc>
        <w:tc>
          <w:tcPr>
            <w:tcW w:w="1248" w:type="dxa"/>
            <w:shd w:val="clear" w:color="auto" w:fill="D6E3BC" w:themeFill="accent3" w:themeFillTint="66"/>
          </w:tcPr>
          <w:p w:rsidR="003F0B9D" w:rsidRPr="00AD60B9" w:rsidRDefault="003F0B9D" w:rsidP="00BE6A32">
            <w:pPr>
              <w:rPr>
                <w:rFonts w:cstheme="minorHAnsi"/>
              </w:rPr>
            </w:pPr>
            <w:r w:rsidRPr="00AD60B9">
              <w:rPr>
                <w:rFonts w:cstheme="minorHAnsi"/>
              </w:rPr>
              <w:t>12-13 months (vendor and local staff time)</w:t>
            </w:r>
          </w:p>
        </w:tc>
        <w:tc>
          <w:tcPr>
            <w:tcW w:w="1136" w:type="dxa"/>
            <w:shd w:val="clear" w:color="auto" w:fill="D6E3BC" w:themeFill="accent3" w:themeFillTint="66"/>
          </w:tcPr>
          <w:p w:rsidR="003F0B9D" w:rsidRPr="00AD60B9" w:rsidRDefault="003F0B9D" w:rsidP="00BE6A32">
            <w:pPr>
              <w:rPr>
                <w:rFonts w:cstheme="minorHAnsi"/>
              </w:rPr>
            </w:pPr>
            <w:r w:rsidRPr="00AD60B9">
              <w:rPr>
                <w:rFonts w:cstheme="minorHAnsi"/>
              </w:rPr>
              <w:t>Either grant funded or locally funded by CHC</w:t>
            </w:r>
            <w:r w:rsidR="00C97BA0" w:rsidRPr="00AD60B9">
              <w:rPr>
                <w:rFonts w:cstheme="minorHAnsi"/>
              </w:rPr>
              <w:t>/SBVC</w:t>
            </w:r>
          </w:p>
        </w:tc>
        <w:tc>
          <w:tcPr>
            <w:tcW w:w="1942" w:type="dxa"/>
            <w:shd w:val="clear" w:color="auto" w:fill="D6E3BC" w:themeFill="accent3" w:themeFillTint="66"/>
          </w:tcPr>
          <w:p w:rsidR="003F0B9D" w:rsidRPr="00AD60B9" w:rsidRDefault="003F0B9D" w:rsidP="00BE6A32">
            <w:pPr>
              <w:rPr>
                <w:rFonts w:cstheme="minorHAnsi"/>
              </w:rPr>
            </w:pPr>
            <w:r w:rsidRPr="00AD60B9">
              <w:rPr>
                <w:rFonts w:cstheme="minorHAnsi"/>
              </w:rPr>
              <w:t>Benjamin Mudgett/Rebeccah Warren-Marlatt</w:t>
            </w:r>
          </w:p>
        </w:tc>
      </w:tr>
      <w:tr w:rsidR="0004772F" w:rsidRPr="00AD60B9" w:rsidTr="00AD60B9">
        <w:tc>
          <w:tcPr>
            <w:tcW w:w="797" w:type="dxa"/>
            <w:shd w:val="clear" w:color="auto" w:fill="D6E3BC" w:themeFill="accent3" w:themeFillTint="66"/>
          </w:tcPr>
          <w:p w:rsidR="0004772F" w:rsidRPr="00AD60B9" w:rsidRDefault="0004772F" w:rsidP="0004772F">
            <w:pPr>
              <w:jc w:val="center"/>
              <w:rPr>
                <w:rFonts w:cstheme="minorHAnsi"/>
                <w:b/>
              </w:rPr>
            </w:pPr>
            <w:r w:rsidRPr="00AD60B9">
              <w:rPr>
                <w:rFonts w:cstheme="minorHAnsi"/>
                <w:b/>
              </w:rPr>
              <w:t>2</w:t>
            </w:r>
          </w:p>
        </w:tc>
        <w:tc>
          <w:tcPr>
            <w:tcW w:w="1513" w:type="dxa"/>
            <w:shd w:val="clear" w:color="auto" w:fill="D6E3BC" w:themeFill="accent3" w:themeFillTint="66"/>
          </w:tcPr>
          <w:p w:rsidR="0004772F" w:rsidRPr="00AD60B9" w:rsidRDefault="0004772F" w:rsidP="0004772F">
            <w:pPr>
              <w:rPr>
                <w:rFonts w:cstheme="minorHAnsi"/>
              </w:rPr>
            </w:pPr>
            <w:r w:rsidRPr="00AD60B9">
              <w:rPr>
                <w:rFonts w:cstheme="minorHAnsi"/>
              </w:rPr>
              <w:t>25 Live</w:t>
            </w:r>
          </w:p>
        </w:tc>
        <w:tc>
          <w:tcPr>
            <w:tcW w:w="5518" w:type="dxa"/>
            <w:shd w:val="clear" w:color="auto" w:fill="D6E3BC" w:themeFill="accent3" w:themeFillTint="66"/>
          </w:tcPr>
          <w:p w:rsidR="0004772F" w:rsidRPr="00AD60B9" w:rsidRDefault="0004772F" w:rsidP="0004772F">
            <w:pPr>
              <w:rPr>
                <w:rFonts w:cstheme="minorHAnsi"/>
              </w:rPr>
            </w:pPr>
            <w:r w:rsidRPr="00AD60B9">
              <w:rPr>
                <w:rFonts w:cstheme="minorHAnsi"/>
              </w:rPr>
              <w:t>This project is to implement a web based version of 25 Live for both Crafton Hills College and San Bernardino Valley College.  the software allows for classroom and event scheduling and through its use, we will have more efficient use of campus space and be able to report on the usage of campus space</w:t>
            </w:r>
          </w:p>
        </w:tc>
        <w:tc>
          <w:tcPr>
            <w:tcW w:w="1284" w:type="dxa"/>
            <w:shd w:val="clear" w:color="auto" w:fill="D6E3BC" w:themeFill="accent3" w:themeFillTint="66"/>
          </w:tcPr>
          <w:p w:rsidR="0004772F" w:rsidRPr="00AD60B9" w:rsidRDefault="005A6799" w:rsidP="0004772F">
            <w:pPr>
              <w:rPr>
                <w:rFonts w:cstheme="minorHAnsi"/>
              </w:rPr>
            </w:pPr>
            <w:r w:rsidRPr="00AD60B9">
              <w:rPr>
                <w:rFonts w:cstheme="minorHAnsi"/>
              </w:rPr>
              <w:t>September 2017</w:t>
            </w:r>
          </w:p>
        </w:tc>
        <w:tc>
          <w:tcPr>
            <w:tcW w:w="1248" w:type="dxa"/>
            <w:shd w:val="clear" w:color="auto" w:fill="D6E3BC" w:themeFill="accent3" w:themeFillTint="66"/>
          </w:tcPr>
          <w:p w:rsidR="0004772F" w:rsidRPr="00AD60B9" w:rsidRDefault="0004772F" w:rsidP="0004772F">
            <w:pPr>
              <w:rPr>
                <w:rFonts w:cstheme="minorHAnsi"/>
              </w:rPr>
            </w:pPr>
            <w:r w:rsidRPr="00AD60B9">
              <w:rPr>
                <w:rFonts w:cstheme="minorHAnsi"/>
              </w:rPr>
              <w:t>12 months (vendor and local staff time)</w:t>
            </w:r>
          </w:p>
        </w:tc>
        <w:tc>
          <w:tcPr>
            <w:tcW w:w="1136" w:type="dxa"/>
            <w:shd w:val="clear" w:color="auto" w:fill="D6E3BC" w:themeFill="accent3" w:themeFillTint="66"/>
          </w:tcPr>
          <w:p w:rsidR="0004772F" w:rsidRPr="00AD60B9" w:rsidRDefault="0004772F" w:rsidP="0004772F">
            <w:pPr>
              <w:rPr>
                <w:rFonts w:cstheme="minorHAnsi"/>
              </w:rPr>
            </w:pPr>
            <w:r w:rsidRPr="00AD60B9">
              <w:rPr>
                <w:rFonts w:cstheme="minorHAnsi"/>
              </w:rPr>
              <w:t>$60,000</w:t>
            </w:r>
          </w:p>
        </w:tc>
        <w:tc>
          <w:tcPr>
            <w:tcW w:w="1942" w:type="dxa"/>
            <w:shd w:val="clear" w:color="auto" w:fill="D6E3BC" w:themeFill="accent3" w:themeFillTint="66"/>
          </w:tcPr>
          <w:p w:rsidR="0004772F" w:rsidRPr="00AD60B9" w:rsidRDefault="0004772F" w:rsidP="0004772F">
            <w:pPr>
              <w:rPr>
                <w:rFonts w:cstheme="minorHAnsi"/>
              </w:rPr>
            </w:pPr>
            <w:r w:rsidRPr="00AD60B9">
              <w:rPr>
                <w:rFonts w:cstheme="minorHAnsi"/>
              </w:rPr>
              <w:t>Scott Stark/Mike Strong</w:t>
            </w:r>
          </w:p>
        </w:tc>
      </w:tr>
      <w:tr w:rsidR="002922A4" w:rsidRPr="00AD60B9" w:rsidTr="00AD60B9">
        <w:tc>
          <w:tcPr>
            <w:tcW w:w="797" w:type="dxa"/>
            <w:shd w:val="clear" w:color="auto" w:fill="D6E3BC" w:themeFill="accent3" w:themeFillTint="66"/>
          </w:tcPr>
          <w:p w:rsidR="002922A4" w:rsidRPr="00AD60B9" w:rsidRDefault="002922A4" w:rsidP="002922A4">
            <w:pPr>
              <w:jc w:val="center"/>
              <w:rPr>
                <w:rFonts w:cstheme="minorHAnsi"/>
                <w:b/>
              </w:rPr>
            </w:pPr>
            <w:r w:rsidRPr="00AD60B9">
              <w:rPr>
                <w:rFonts w:cstheme="minorHAnsi"/>
                <w:b/>
              </w:rPr>
              <w:t>3</w:t>
            </w:r>
          </w:p>
        </w:tc>
        <w:tc>
          <w:tcPr>
            <w:tcW w:w="1513" w:type="dxa"/>
            <w:shd w:val="clear" w:color="auto" w:fill="D6E3BC" w:themeFill="accent3" w:themeFillTint="66"/>
          </w:tcPr>
          <w:p w:rsidR="002922A4" w:rsidRPr="00AD60B9" w:rsidRDefault="002922A4" w:rsidP="002922A4">
            <w:pPr>
              <w:jc w:val="both"/>
              <w:rPr>
                <w:rFonts w:cstheme="minorHAnsi"/>
                <w:color w:val="000000" w:themeColor="text1"/>
              </w:rPr>
            </w:pPr>
            <w:r w:rsidRPr="00AD60B9">
              <w:rPr>
                <w:rFonts w:cstheme="minorHAnsi"/>
                <w:color w:val="000000" w:themeColor="text1"/>
              </w:rPr>
              <w:t>Colleague customization review</w:t>
            </w:r>
          </w:p>
        </w:tc>
        <w:tc>
          <w:tcPr>
            <w:tcW w:w="5518" w:type="dxa"/>
            <w:shd w:val="clear" w:color="auto" w:fill="D6E3BC" w:themeFill="accent3" w:themeFillTint="66"/>
          </w:tcPr>
          <w:p w:rsidR="002922A4" w:rsidRPr="00AD60B9" w:rsidRDefault="002922A4" w:rsidP="002922A4">
            <w:pPr>
              <w:rPr>
                <w:sz w:val="20"/>
              </w:rPr>
            </w:pPr>
            <w:r w:rsidRPr="00AD60B9">
              <w:rPr>
                <w:sz w:val="20"/>
              </w:rPr>
              <w:fldChar w:fldCharType="begin"/>
            </w:r>
            <w:r w:rsidRPr="00AD60B9">
              <w:rPr>
                <w:sz w:val="20"/>
              </w:rPr>
              <w:instrText xml:space="preserve"> MACROBUTTON NoMacro </w:instrText>
            </w:r>
            <w:r w:rsidRPr="00AD60B9">
              <w:rPr>
                <w:sz w:val="20"/>
              </w:rPr>
              <w:fldChar w:fldCharType="end"/>
            </w:r>
            <w:r w:rsidRPr="00AD60B9">
              <w:rPr>
                <w:sz w:val="20"/>
              </w:rPr>
              <w:t>Since we have migrated to Ellucian Datatel/Colleague in 1999/2000, there have been hundreds or even thousands of customizations done to the system to support college and IT processes.  As we prepare to investigate newer Software-as-a-Service platforms for our student information system such as Oracle and Workday, we need an assessment of all the customizations currently done in our system that we are actively using so we can accurately access if the required functionalities are in these other offerings out there.</w:t>
            </w:r>
          </w:p>
          <w:p w:rsidR="002922A4" w:rsidRPr="00AD60B9" w:rsidRDefault="002922A4" w:rsidP="002922A4">
            <w:pPr>
              <w:rPr>
                <w:sz w:val="20"/>
              </w:rPr>
            </w:pPr>
          </w:p>
          <w:p w:rsidR="002922A4" w:rsidRPr="00AD60B9" w:rsidRDefault="002922A4" w:rsidP="002922A4">
            <w:pPr>
              <w:rPr>
                <w:sz w:val="20"/>
              </w:rPr>
            </w:pPr>
            <w:r w:rsidRPr="00AD60B9">
              <w:rPr>
                <w:sz w:val="20"/>
              </w:rPr>
              <w:t>This project will require a programmer with knowledge of Colleague to go through all of our customizations, document them as to what they do, do we still use it etc. and provide a report with all of the customizations.</w:t>
            </w:r>
          </w:p>
          <w:p w:rsidR="002922A4" w:rsidRPr="00AD60B9" w:rsidRDefault="002922A4" w:rsidP="002922A4">
            <w:pPr>
              <w:rPr>
                <w:sz w:val="20"/>
              </w:rPr>
            </w:pPr>
          </w:p>
          <w:p w:rsidR="002922A4" w:rsidRPr="00AD60B9" w:rsidRDefault="002922A4" w:rsidP="002922A4">
            <w:pPr>
              <w:rPr>
                <w:sz w:val="20"/>
              </w:rPr>
            </w:pPr>
            <w:r w:rsidRPr="00AD60B9">
              <w:rPr>
                <w:sz w:val="20"/>
              </w:rPr>
              <w:t>This report can then be used as we evaluate other student information systems from other vendors.   This report will be shared with the DAWG committee which comprises of student services, instruction, faculty and researchers.</w:t>
            </w:r>
          </w:p>
          <w:p w:rsidR="002922A4" w:rsidRPr="00AD60B9" w:rsidRDefault="002922A4" w:rsidP="002922A4">
            <w:pPr>
              <w:rPr>
                <w:sz w:val="20"/>
              </w:rPr>
            </w:pPr>
          </w:p>
          <w:p w:rsidR="002922A4" w:rsidRPr="00AD60B9" w:rsidRDefault="002922A4" w:rsidP="002922A4">
            <w:pPr>
              <w:rPr>
                <w:sz w:val="20"/>
              </w:rPr>
            </w:pPr>
            <w:r w:rsidRPr="00AD60B9">
              <w:rPr>
                <w:sz w:val="20"/>
              </w:rPr>
              <w:t xml:space="preserve">If this project is not accepted, TESS and DAWG will not be able to fully evaluate the necessary functionalities needed in prospective SIS's and therefore cannot adequately ensure </w:t>
            </w:r>
            <w:r w:rsidRPr="00AD60B9">
              <w:rPr>
                <w:sz w:val="20"/>
              </w:rPr>
              <w:lastRenderedPageBreak/>
              <w:t>business continuity if SBCCD were to migrate to a different SIS.</w:t>
            </w:r>
          </w:p>
        </w:tc>
        <w:tc>
          <w:tcPr>
            <w:tcW w:w="1284" w:type="dxa"/>
            <w:shd w:val="clear" w:color="auto" w:fill="D6E3BC" w:themeFill="accent3" w:themeFillTint="66"/>
          </w:tcPr>
          <w:p w:rsidR="002922A4" w:rsidRPr="00AD60B9" w:rsidRDefault="005A6799" w:rsidP="002922A4">
            <w:pPr>
              <w:rPr>
                <w:rFonts w:cstheme="minorHAnsi"/>
              </w:rPr>
            </w:pPr>
            <w:r w:rsidRPr="00AD60B9">
              <w:rPr>
                <w:rFonts w:cstheme="minorHAnsi"/>
              </w:rPr>
              <w:lastRenderedPageBreak/>
              <w:t>July 2017</w:t>
            </w:r>
          </w:p>
        </w:tc>
        <w:tc>
          <w:tcPr>
            <w:tcW w:w="1248" w:type="dxa"/>
            <w:shd w:val="clear" w:color="auto" w:fill="D6E3BC" w:themeFill="accent3" w:themeFillTint="66"/>
          </w:tcPr>
          <w:p w:rsidR="002922A4" w:rsidRPr="00AD60B9" w:rsidRDefault="002922A4" w:rsidP="002922A4">
            <w:pPr>
              <w:rPr>
                <w:rFonts w:cstheme="minorHAnsi"/>
              </w:rPr>
            </w:pPr>
            <w:r w:rsidRPr="00AD60B9">
              <w:rPr>
                <w:rFonts w:cstheme="minorHAnsi"/>
              </w:rPr>
              <w:t>5 months</w:t>
            </w:r>
          </w:p>
        </w:tc>
        <w:tc>
          <w:tcPr>
            <w:tcW w:w="1136" w:type="dxa"/>
            <w:shd w:val="clear" w:color="auto" w:fill="D6E3BC" w:themeFill="accent3" w:themeFillTint="66"/>
          </w:tcPr>
          <w:p w:rsidR="002922A4" w:rsidRPr="00AD60B9" w:rsidRDefault="002922A4" w:rsidP="002922A4">
            <w:pPr>
              <w:rPr>
                <w:rFonts w:cstheme="minorHAnsi"/>
              </w:rPr>
            </w:pPr>
            <w:r w:rsidRPr="00AD60B9">
              <w:rPr>
                <w:rFonts w:cstheme="minorHAnsi"/>
              </w:rPr>
              <w:t>$70,000</w:t>
            </w:r>
          </w:p>
        </w:tc>
        <w:tc>
          <w:tcPr>
            <w:tcW w:w="1942" w:type="dxa"/>
            <w:shd w:val="clear" w:color="auto" w:fill="D6E3BC" w:themeFill="accent3" w:themeFillTint="66"/>
          </w:tcPr>
          <w:p w:rsidR="002922A4" w:rsidRPr="00AD60B9" w:rsidRDefault="002922A4" w:rsidP="002922A4">
            <w:pPr>
              <w:rPr>
                <w:rFonts w:cstheme="minorHAnsi"/>
              </w:rPr>
            </w:pPr>
            <w:r w:rsidRPr="00AD60B9">
              <w:rPr>
                <w:rFonts w:cstheme="minorHAnsi"/>
              </w:rPr>
              <w:t>Andy Chang/Glen Kuck</w:t>
            </w:r>
          </w:p>
        </w:tc>
      </w:tr>
      <w:tr w:rsidR="002922A4" w:rsidRPr="00AD60B9" w:rsidTr="00AD60B9">
        <w:tc>
          <w:tcPr>
            <w:tcW w:w="797" w:type="dxa"/>
            <w:shd w:val="clear" w:color="auto" w:fill="D6E3BC" w:themeFill="accent3" w:themeFillTint="66"/>
          </w:tcPr>
          <w:p w:rsidR="002922A4" w:rsidRPr="00AD60B9" w:rsidRDefault="002922A4" w:rsidP="002922A4">
            <w:pPr>
              <w:jc w:val="center"/>
              <w:rPr>
                <w:rFonts w:cstheme="minorHAnsi"/>
                <w:b/>
              </w:rPr>
            </w:pPr>
            <w:r w:rsidRPr="00AD60B9">
              <w:rPr>
                <w:rFonts w:cstheme="minorHAnsi"/>
                <w:b/>
              </w:rPr>
              <w:t>4</w:t>
            </w:r>
          </w:p>
        </w:tc>
        <w:tc>
          <w:tcPr>
            <w:tcW w:w="1513" w:type="dxa"/>
            <w:shd w:val="clear" w:color="auto" w:fill="D6E3BC" w:themeFill="accent3" w:themeFillTint="66"/>
          </w:tcPr>
          <w:p w:rsidR="002922A4" w:rsidRPr="00AD60B9" w:rsidRDefault="002922A4" w:rsidP="002922A4">
            <w:pPr>
              <w:jc w:val="both"/>
              <w:rPr>
                <w:rFonts w:cstheme="minorHAnsi"/>
                <w:color w:val="000000" w:themeColor="text1"/>
              </w:rPr>
            </w:pPr>
            <w:r w:rsidRPr="00AD60B9">
              <w:rPr>
                <w:rFonts w:cstheme="minorHAnsi"/>
                <w:color w:val="000000" w:themeColor="text1"/>
              </w:rPr>
              <w:t>District Website Redesign</w:t>
            </w:r>
          </w:p>
        </w:tc>
        <w:tc>
          <w:tcPr>
            <w:tcW w:w="5518" w:type="dxa"/>
            <w:shd w:val="clear" w:color="auto" w:fill="D6E3BC" w:themeFill="accent3" w:themeFillTint="66"/>
          </w:tcPr>
          <w:p w:rsidR="002922A4" w:rsidRPr="00AD60B9" w:rsidRDefault="002922A4" w:rsidP="002922A4">
            <w:pPr>
              <w:rPr>
                <w:rFonts w:cstheme="minorHAnsi"/>
              </w:rPr>
            </w:pPr>
            <w:r w:rsidRPr="00AD60B9">
              <w:rPr>
                <w:rFonts w:cstheme="minorHAnsi"/>
              </w:rPr>
              <w:t>The district website has not been updated with a new design in at least 7 years. The redesign will give the district website a new look, feel and features. Funds were identified for this through program review</w:t>
            </w:r>
          </w:p>
        </w:tc>
        <w:tc>
          <w:tcPr>
            <w:tcW w:w="1284" w:type="dxa"/>
            <w:shd w:val="clear" w:color="auto" w:fill="D6E3BC" w:themeFill="accent3" w:themeFillTint="66"/>
          </w:tcPr>
          <w:p w:rsidR="002922A4" w:rsidRPr="00AD60B9" w:rsidRDefault="005A6799" w:rsidP="002922A4">
            <w:pPr>
              <w:rPr>
                <w:rFonts w:cstheme="minorHAnsi"/>
              </w:rPr>
            </w:pPr>
            <w:r w:rsidRPr="00AD60B9">
              <w:rPr>
                <w:rFonts w:cstheme="minorHAnsi"/>
              </w:rPr>
              <w:t>TBD – need to find a vendor first</w:t>
            </w:r>
          </w:p>
        </w:tc>
        <w:tc>
          <w:tcPr>
            <w:tcW w:w="1248" w:type="dxa"/>
            <w:shd w:val="clear" w:color="auto" w:fill="D6E3BC" w:themeFill="accent3" w:themeFillTint="66"/>
          </w:tcPr>
          <w:p w:rsidR="002922A4" w:rsidRPr="00AD60B9" w:rsidRDefault="002922A4" w:rsidP="002922A4">
            <w:pPr>
              <w:rPr>
                <w:rFonts w:cstheme="minorHAnsi"/>
              </w:rPr>
            </w:pPr>
            <w:r w:rsidRPr="00AD60B9">
              <w:rPr>
                <w:rFonts w:cstheme="minorHAnsi"/>
              </w:rPr>
              <w:t>200 hours</w:t>
            </w:r>
          </w:p>
        </w:tc>
        <w:tc>
          <w:tcPr>
            <w:tcW w:w="1136" w:type="dxa"/>
            <w:shd w:val="clear" w:color="auto" w:fill="D6E3BC" w:themeFill="accent3" w:themeFillTint="66"/>
          </w:tcPr>
          <w:p w:rsidR="002922A4" w:rsidRPr="00AD60B9" w:rsidRDefault="002922A4" w:rsidP="002922A4">
            <w:pPr>
              <w:rPr>
                <w:rFonts w:cstheme="minorHAnsi"/>
              </w:rPr>
            </w:pPr>
          </w:p>
        </w:tc>
        <w:tc>
          <w:tcPr>
            <w:tcW w:w="1942" w:type="dxa"/>
            <w:shd w:val="clear" w:color="auto" w:fill="D6E3BC" w:themeFill="accent3" w:themeFillTint="66"/>
          </w:tcPr>
          <w:p w:rsidR="002922A4" w:rsidRPr="00AD60B9" w:rsidRDefault="002922A4" w:rsidP="002922A4">
            <w:pPr>
              <w:rPr>
                <w:rFonts w:cstheme="minorHAnsi"/>
              </w:rPr>
            </w:pPr>
            <w:r w:rsidRPr="00AD60B9">
              <w:rPr>
                <w:rFonts w:cstheme="minorHAnsi"/>
              </w:rPr>
              <w:t>Jason Brady/Jeremy Sims</w:t>
            </w:r>
          </w:p>
        </w:tc>
      </w:tr>
      <w:bookmarkEnd w:id="0"/>
      <w:tr w:rsidR="00DA7AEB" w:rsidRPr="009C1222" w:rsidTr="002922A4">
        <w:tc>
          <w:tcPr>
            <w:tcW w:w="797" w:type="dxa"/>
          </w:tcPr>
          <w:p w:rsidR="00DA7AEB" w:rsidRDefault="00DA7AEB" w:rsidP="00DA7AEB">
            <w:pPr>
              <w:jc w:val="center"/>
              <w:rPr>
                <w:rFonts w:cstheme="minorHAnsi"/>
                <w:b/>
              </w:rPr>
            </w:pPr>
            <w:r>
              <w:rPr>
                <w:rFonts w:cstheme="minorHAnsi"/>
                <w:b/>
              </w:rPr>
              <w:t>5</w:t>
            </w:r>
          </w:p>
        </w:tc>
        <w:tc>
          <w:tcPr>
            <w:tcW w:w="1513" w:type="dxa"/>
          </w:tcPr>
          <w:p w:rsidR="00DA7AEB" w:rsidRDefault="00DA7AEB" w:rsidP="00DA7AEB">
            <w:pPr>
              <w:jc w:val="both"/>
              <w:rPr>
                <w:rFonts w:cstheme="minorHAnsi"/>
                <w:color w:val="000000" w:themeColor="text1"/>
              </w:rPr>
            </w:pPr>
            <w:r>
              <w:rPr>
                <w:rFonts w:cstheme="minorHAnsi"/>
                <w:color w:val="000000" w:themeColor="text1"/>
              </w:rPr>
              <w:t>CAI</w:t>
            </w:r>
          </w:p>
        </w:tc>
        <w:tc>
          <w:tcPr>
            <w:tcW w:w="5518" w:type="dxa"/>
          </w:tcPr>
          <w:p w:rsidR="00DA7AEB" w:rsidRDefault="00DA7AEB" w:rsidP="00DA7AEB">
            <w:pPr>
              <w:rPr>
                <w:rFonts w:cstheme="minorHAnsi"/>
              </w:rPr>
            </w:pPr>
            <w:r>
              <w:rPr>
                <w:rFonts w:cstheme="minorHAnsi"/>
              </w:rPr>
              <w:t xml:space="preserve">This project (Common Assessment Initiative) is a joint project request by both colleges to transition from our current assessment platform, </w:t>
            </w:r>
            <w:proofErr w:type="spellStart"/>
            <w:r>
              <w:rPr>
                <w:rFonts w:cstheme="minorHAnsi"/>
              </w:rPr>
              <w:t>Accuplacer</w:t>
            </w:r>
            <w:proofErr w:type="spellEnd"/>
            <w:r>
              <w:rPr>
                <w:rFonts w:cstheme="minorHAnsi"/>
              </w:rPr>
              <w:t>, to the state developed tool CAI.  Needed from the TESS team is single sign-on functionality as well as the integration of assessment data in Colleague.  And then based upon those assessment scores, the necessary equivalencies need to be setup in Colleague so students can register for the appropriate course(s)</w:t>
            </w:r>
          </w:p>
        </w:tc>
        <w:tc>
          <w:tcPr>
            <w:tcW w:w="1284" w:type="dxa"/>
          </w:tcPr>
          <w:p w:rsidR="00DA7AEB" w:rsidRDefault="00DA7AEB" w:rsidP="00DA7AEB">
            <w:pPr>
              <w:rPr>
                <w:rFonts w:cstheme="minorHAnsi"/>
              </w:rPr>
            </w:pPr>
            <w:r>
              <w:rPr>
                <w:rFonts w:cstheme="minorHAnsi"/>
              </w:rPr>
              <w:t>TBD</w:t>
            </w:r>
          </w:p>
        </w:tc>
        <w:tc>
          <w:tcPr>
            <w:tcW w:w="1248" w:type="dxa"/>
          </w:tcPr>
          <w:p w:rsidR="00DA7AEB" w:rsidRDefault="00DA7AEB" w:rsidP="00DA7AEB">
            <w:pPr>
              <w:rPr>
                <w:rFonts w:cstheme="minorHAnsi"/>
              </w:rPr>
            </w:pPr>
            <w:r>
              <w:rPr>
                <w:rFonts w:cstheme="minorHAnsi"/>
              </w:rPr>
              <w:t>190 hours</w:t>
            </w:r>
          </w:p>
        </w:tc>
        <w:tc>
          <w:tcPr>
            <w:tcW w:w="1136" w:type="dxa"/>
          </w:tcPr>
          <w:p w:rsidR="00DA7AEB" w:rsidRDefault="00DA7AEB" w:rsidP="00DA7AEB">
            <w:pPr>
              <w:rPr>
                <w:rFonts w:cstheme="minorHAnsi"/>
              </w:rPr>
            </w:pPr>
          </w:p>
        </w:tc>
        <w:tc>
          <w:tcPr>
            <w:tcW w:w="1942" w:type="dxa"/>
          </w:tcPr>
          <w:p w:rsidR="00DA7AEB" w:rsidRDefault="00DA7AEB" w:rsidP="00DA7AEB">
            <w:pPr>
              <w:rPr>
                <w:rFonts w:cstheme="minorHAnsi"/>
              </w:rPr>
            </w:pPr>
            <w:r>
              <w:rPr>
                <w:rFonts w:cstheme="minorHAnsi"/>
              </w:rPr>
              <w:t>Kirsten Colvey/Rebeccah Warren Marlatt and Marco Cota/Ricky Shabazz</w:t>
            </w:r>
          </w:p>
        </w:tc>
      </w:tr>
      <w:tr w:rsidR="00DA7AEB" w:rsidRPr="009C1222" w:rsidTr="002922A4">
        <w:tc>
          <w:tcPr>
            <w:tcW w:w="797" w:type="dxa"/>
          </w:tcPr>
          <w:p w:rsidR="00DA7AEB" w:rsidRDefault="00DA7AEB" w:rsidP="00DA7AEB">
            <w:pPr>
              <w:jc w:val="center"/>
              <w:rPr>
                <w:rFonts w:cstheme="minorHAnsi"/>
                <w:b/>
              </w:rPr>
            </w:pPr>
          </w:p>
        </w:tc>
        <w:tc>
          <w:tcPr>
            <w:tcW w:w="1513" w:type="dxa"/>
          </w:tcPr>
          <w:p w:rsidR="00DA7AEB" w:rsidRDefault="00DA7AEB" w:rsidP="00DA7AEB">
            <w:pPr>
              <w:jc w:val="both"/>
              <w:rPr>
                <w:rFonts w:cstheme="minorHAnsi"/>
                <w:color w:val="000000" w:themeColor="text1"/>
              </w:rPr>
            </w:pPr>
          </w:p>
        </w:tc>
        <w:tc>
          <w:tcPr>
            <w:tcW w:w="5518" w:type="dxa"/>
          </w:tcPr>
          <w:p w:rsidR="00DA7AEB" w:rsidRPr="00B7056E" w:rsidRDefault="00DA7AEB" w:rsidP="00DA7AEB">
            <w:pPr>
              <w:rPr>
                <w:rFonts w:cstheme="minorHAnsi"/>
              </w:rPr>
            </w:pPr>
          </w:p>
        </w:tc>
        <w:tc>
          <w:tcPr>
            <w:tcW w:w="1284" w:type="dxa"/>
          </w:tcPr>
          <w:p w:rsidR="00DA7AEB" w:rsidRDefault="00DA7AEB" w:rsidP="00DA7AEB">
            <w:pPr>
              <w:rPr>
                <w:rFonts w:cstheme="minorHAnsi"/>
              </w:rPr>
            </w:pPr>
          </w:p>
        </w:tc>
        <w:tc>
          <w:tcPr>
            <w:tcW w:w="1248" w:type="dxa"/>
          </w:tcPr>
          <w:p w:rsidR="00DA7AEB" w:rsidRDefault="00DA7AEB" w:rsidP="00DA7AEB">
            <w:pPr>
              <w:rPr>
                <w:rFonts w:cstheme="minorHAnsi"/>
              </w:rPr>
            </w:pPr>
          </w:p>
        </w:tc>
        <w:tc>
          <w:tcPr>
            <w:tcW w:w="1136" w:type="dxa"/>
          </w:tcPr>
          <w:p w:rsidR="00DA7AEB" w:rsidRDefault="00DA7AEB" w:rsidP="00DA7AEB">
            <w:pPr>
              <w:rPr>
                <w:rFonts w:cstheme="minorHAnsi"/>
              </w:rPr>
            </w:pPr>
          </w:p>
        </w:tc>
        <w:tc>
          <w:tcPr>
            <w:tcW w:w="1942" w:type="dxa"/>
          </w:tcPr>
          <w:p w:rsidR="00DA7AEB" w:rsidRDefault="00DA7AEB" w:rsidP="00DA7AEB">
            <w:pPr>
              <w:rPr>
                <w:rFonts w:cstheme="minorHAnsi"/>
              </w:rPr>
            </w:pPr>
          </w:p>
        </w:tc>
      </w:tr>
    </w:tbl>
    <w:p w:rsidR="00BE6A32" w:rsidRDefault="00BE6A32">
      <w:pPr>
        <w:rPr>
          <w:rFonts w:cstheme="minorHAnsi"/>
        </w:rPr>
      </w:pPr>
    </w:p>
    <w:p w:rsidR="0063486F" w:rsidRDefault="0063486F">
      <w:pPr>
        <w:rPr>
          <w:rFonts w:cstheme="minorHAnsi"/>
        </w:rPr>
      </w:pPr>
    </w:p>
    <w:p w:rsidR="00462F02" w:rsidRDefault="00462F02">
      <w:pPr>
        <w:rPr>
          <w:rFonts w:cstheme="minorHAnsi"/>
        </w:rPr>
      </w:pPr>
    </w:p>
    <w:tbl>
      <w:tblPr>
        <w:tblStyle w:val="TableGrid"/>
        <w:tblW w:w="13438" w:type="dxa"/>
        <w:tblInd w:w="-792" w:type="dxa"/>
        <w:tblLook w:val="04A0" w:firstRow="1" w:lastRow="0" w:firstColumn="1" w:lastColumn="0" w:noHBand="0" w:noVBand="1"/>
      </w:tblPr>
      <w:tblGrid>
        <w:gridCol w:w="797"/>
        <w:gridCol w:w="1503"/>
        <w:gridCol w:w="5343"/>
        <w:gridCol w:w="1570"/>
        <w:gridCol w:w="1248"/>
        <w:gridCol w:w="1036"/>
        <w:gridCol w:w="1941"/>
      </w:tblGrid>
      <w:tr w:rsidR="00481445" w:rsidTr="00E3277B">
        <w:tc>
          <w:tcPr>
            <w:tcW w:w="797" w:type="dxa"/>
          </w:tcPr>
          <w:p w:rsidR="00481445" w:rsidRPr="00F85CA9" w:rsidRDefault="00481445" w:rsidP="00481445">
            <w:pPr>
              <w:jc w:val="center"/>
              <w:rPr>
                <w:rFonts w:cstheme="minorHAnsi"/>
                <w:b/>
                <w:sz w:val="28"/>
                <w:szCs w:val="28"/>
              </w:rPr>
            </w:pPr>
            <w:r w:rsidRPr="00F85CA9">
              <w:rPr>
                <w:rFonts w:cstheme="minorHAnsi"/>
                <w:b/>
                <w:sz w:val="28"/>
                <w:szCs w:val="28"/>
              </w:rPr>
              <w:t>Rank</w:t>
            </w:r>
          </w:p>
        </w:tc>
        <w:tc>
          <w:tcPr>
            <w:tcW w:w="1521" w:type="dxa"/>
          </w:tcPr>
          <w:p w:rsidR="00481445" w:rsidRPr="00F85CA9" w:rsidRDefault="00481445" w:rsidP="00481445">
            <w:pPr>
              <w:rPr>
                <w:rFonts w:cstheme="minorHAnsi"/>
                <w:b/>
                <w:sz w:val="28"/>
                <w:szCs w:val="28"/>
              </w:rPr>
            </w:pPr>
            <w:r w:rsidRPr="00F85CA9">
              <w:rPr>
                <w:rFonts w:cstheme="minorHAnsi"/>
                <w:b/>
                <w:sz w:val="28"/>
                <w:szCs w:val="28"/>
              </w:rPr>
              <w:t>Project Title</w:t>
            </w:r>
          </w:p>
        </w:tc>
        <w:tc>
          <w:tcPr>
            <w:tcW w:w="5615" w:type="dxa"/>
          </w:tcPr>
          <w:p w:rsidR="00481445" w:rsidRPr="00462F02" w:rsidRDefault="00481445" w:rsidP="002922A4">
            <w:pPr>
              <w:rPr>
                <w:rFonts w:cstheme="minorHAnsi"/>
                <w:b/>
              </w:rPr>
            </w:pPr>
            <w:r w:rsidRPr="00462F02">
              <w:rPr>
                <w:rFonts w:cstheme="minorHAnsi"/>
                <w:b/>
                <w:sz w:val="28"/>
              </w:rPr>
              <w:t>UNPRIORITIZED</w:t>
            </w:r>
            <w:r w:rsidR="00155F3D">
              <w:rPr>
                <w:rFonts w:cstheme="minorHAnsi"/>
                <w:b/>
                <w:sz w:val="28"/>
              </w:rPr>
              <w:t xml:space="preserve"> P</w:t>
            </w:r>
            <w:r w:rsidR="002922A4">
              <w:rPr>
                <w:rFonts w:cstheme="minorHAnsi"/>
                <w:b/>
                <w:sz w:val="28"/>
              </w:rPr>
              <w:t>ROJECTS  + NEW REQUESTS FOR Summer</w:t>
            </w:r>
            <w:r w:rsidR="00155F3D">
              <w:rPr>
                <w:rFonts w:cstheme="minorHAnsi"/>
                <w:b/>
                <w:sz w:val="28"/>
              </w:rPr>
              <w:t xml:space="preserve"> 2017</w:t>
            </w:r>
          </w:p>
        </w:tc>
        <w:tc>
          <w:tcPr>
            <w:tcW w:w="1253" w:type="dxa"/>
          </w:tcPr>
          <w:p w:rsidR="00481445" w:rsidRPr="00F85CA9" w:rsidRDefault="005A6799" w:rsidP="00481445">
            <w:pPr>
              <w:jc w:val="center"/>
              <w:rPr>
                <w:rFonts w:cstheme="minorHAnsi"/>
                <w:b/>
                <w:sz w:val="28"/>
                <w:szCs w:val="28"/>
              </w:rPr>
            </w:pPr>
            <w:r>
              <w:rPr>
                <w:rFonts w:cstheme="minorHAnsi"/>
                <w:b/>
                <w:sz w:val="28"/>
                <w:szCs w:val="28"/>
              </w:rPr>
              <w:t>Est. Completion</w:t>
            </w:r>
          </w:p>
        </w:tc>
        <w:tc>
          <w:tcPr>
            <w:tcW w:w="1248" w:type="dxa"/>
          </w:tcPr>
          <w:p w:rsidR="00481445" w:rsidRPr="00F85CA9" w:rsidRDefault="00481445" w:rsidP="00481445">
            <w:pPr>
              <w:jc w:val="center"/>
              <w:rPr>
                <w:rFonts w:cstheme="minorHAnsi"/>
                <w:b/>
                <w:sz w:val="28"/>
                <w:szCs w:val="28"/>
              </w:rPr>
            </w:pPr>
            <w:r w:rsidRPr="00F85CA9">
              <w:rPr>
                <w:rFonts w:cstheme="minorHAnsi"/>
                <w:b/>
                <w:sz w:val="28"/>
                <w:szCs w:val="28"/>
              </w:rPr>
              <w:t>Duration</w:t>
            </w:r>
          </w:p>
        </w:tc>
        <w:tc>
          <w:tcPr>
            <w:tcW w:w="1062" w:type="dxa"/>
          </w:tcPr>
          <w:p w:rsidR="00481445" w:rsidRPr="00F85CA9" w:rsidRDefault="00481445" w:rsidP="00481445">
            <w:pPr>
              <w:jc w:val="center"/>
              <w:rPr>
                <w:rFonts w:cstheme="minorHAnsi"/>
                <w:b/>
                <w:sz w:val="28"/>
                <w:szCs w:val="28"/>
              </w:rPr>
            </w:pPr>
            <w:r w:rsidRPr="00F85CA9">
              <w:rPr>
                <w:rFonts w:cstheme="minorHAnsi"/>
                <w:b/>
                <w:sz w:val="28"/>
                <w:szCs w:val="28"/>
              </w:rPr>
              <w:t>Cost</w:t>
            </w:r>
          </w:p>
        </w:tc>
        <w:tc>
          <w:tcPr>
            <w:tcW w:w="1942" w:type="dxa"/>
          </w:tcPr>
          <w:p w:rsidR="00481445" w:rsidRPr="00F85CA9" w:rsidRDefault="00481445" w:rsidP="00481445">
            <w:pPr>
              <w:jc w:val="center"/>
              <w:rPr>
                <w:rFonts w:cstheme="minorHAnsi"/>
                <w:b/>
                <w:sz w:val="28"/>
                <w:szCs w:val="28"/>
              </w:rPr>
            </w:pPr>
            <w:r w:rsidRPr="00F85CA9">
              <w:rPr>
                <w:rFonts w:cstheme="minorHAnsi"/>
                <w:b/>
                <w:sz w:val="28"/>
                <w:szCs w:val="28"/>
              </w:rPr>
              <w:t>Sponsor</w:t>
            </w:r>
          </w:p>
        </w:tc>
      </w:tr>
      <w:tr w:rsidR="00B7056E" w:rsidTr="00E3277B">
        <w:tc>
          <w:tcPr>
            <w:tcW w:w="797" w:type="dxa"/>
          </w:tcPr>
          <w:p w:rsidR="00B7056E" w:rsidRDefault="00B7056E" w:rsidP="009D5767">
            <w:pPr>
              <w:jc w:val="center"/>
              <w:rPr>
                <w:rFonts w:cstheme="minorHAnsi"/>
                <w:b/>
              </w:rPr>
            </w:pPr>
            <w:r>
              <w:rPr>
                <w:rFonts w:cstheme="minorHAnsi"/>
                <w:b/>
              </w:rPr>
              <w:t>0</w:t>
            </w:r>
          </w:p>
        </w:tc>
        <w:tc>
          <w:tcPr>
            <w:tcW w:w="1521" w:type="dxa"/>
          </w:tcPr>
          <w:p w:rsidR="00B7056E" w:rsidRDefault="000B4DAF" w:rsidP="009D5767">
            <w:pPr>
              <w:jc w:val="both"/>
              <w:rPr>
                <w:rFonts w:cstheme="minorHAnsi"/>
                <w:color w:val="000000" w:themeColor="text1"/>
              </w:rPr>
            </w:pPr>
            <w:proofErr w:type="spellStart"/>
            <w:r>
              <w:rPr>
                <w:rFonts w:cstheme="minorHAnsi"/>
                <w:color w:val="000000" w:themeColor="text1"/>
              </w:rPr>
              <w:t>CCCApply</w:t>
            </w:r>
            <w:proofErr w:type="spellEnd"/>
            <w:r>
              <w:rPr>
                <w:rFonts w:cstheme="minorHAnsi"/>
                <w:color w:val="000000" w:themeColor="text1"/>
              </w:rPr>
              <w:t xml:space="preserve"> Import Automation </w:t>
            </w:r>
          </w:p>
        </w:tc>
        <w:tc>
          <w:tcPr>
            <w:tcW w:w="5615" w:type="dxa"/>
          </w:tcPr>
          <w:p w:rsidR="000B4DAF" w:rsidRPr="000B4DAF" w:rsidRDefault="000B4DAF" w:rsidP="000B4DAF">
            <w:pPr>
              <w:rPr>
                <w:rFonts w:cstheme="minorHAnsi"/>
              </w:rPr>
            </w:pPr>
            <w:r w:rsidRPr="000B4DAF">
              <w:rPr>
                <w:rFonts w:cstheme="minorHAnsi"/>
              </w:rPr>
              <w:t>Currently, student admission applications are downloaded and processed three times daily by the Admissions &amp; Records Staff.  A&amp;R staff must manually process application batches and correct any errors in each batch before the applications can be fully imported into Colleague to have a student ID number assigned.  If errors exist in the batch, it may take up to one full business day to correct the errors and complete the import process.</w:t>
            </w:r>
          </w:p>
          <w:p w:rsidR="000B4DAF" w:rsidRPr="000B4DAF" w:rsidRDefault="000B4DAF" w:rsidP="000B4DAF">
            <w:pPr>
              <w:rPr>
                <w:rFonts w:cstheme="minorHAnsi"/>
              </w:rPr>
            </w:pPr>
          </w:p>
          <w:p w:rsidR="00B7056E" w:rsidRPr="00B7056E" w:rsidRDefault="000B4DAF" w:rsidP="000B4DAF">
            <w:pPr>
              <w:rPr>
                <w:rFonts w:cstheme="minorHAnsi"/>
              </w:rPr>
            </w:pPr>
            <w:r w:rsidRPr="000B4DAF">
              <w:rPr>
                <w:rFonts w:cstheme="minorHAnsi"/>
              </w:rPr>
              <w:t>The current import process creates a delay in processing applications within the batch that do not have errors.  Delays in processing applications prevent students from moving on to the next step in the enrollment process which could deter students from attending the college.</w:t>
            </w:r>
          </w:p>
        </w:tc>
        <w:tc>
          <w:tcPr>
            <w:tcW w:w="1253" w:type="dxa"/>
          </w:tcPr>
          <w:p w:rsidR="00B7056E" w:rsidRPr="00F44C94" w:rsidRDefault="000B4DAF" w:rsidP="00F44C94">
            <w:pPr>
              <w:rPr>
                <w:rFonts w:cstheme="minorHAnsi"/>
                <w:b/>
              </w:rPr>
            </w:pPr>
            <w:r w:rsidRPr="00F44C94">
              <w:rPr>
                <w:rFonts w:cstheme="minorHAnsi"/>
                <w:b/>
                <w:color w:val="FF0000"/>
              </w:rPr>
              <w:t>T</w:t>
            </w:r>
            <w:r w:rsidR="00F44C94" w:rsidRPr="00F44C94">
              <w:rPr>
                <w:rFonts w:cstheme="minorHAnsi"/>
                <w:b/>
                <w:color w:val="FF0000"/>
              </w:rPr>
              <w:t>abled</w:t>
            </w:r>
          </w:p>
        </w:tc>
        <w:tc>
          <w:tcPr>
            <w:tcW w:w="1248" w:type="dxa"/>
          </w:tcPr>
          <w:p w:rsidR="00B7056E" w:rsidRDefault="00B7056E" w:rsidP="009D5767">
            <w:pPr>
              <w:rPr>
                <w:rFonts w:cstheme="minorHAnsi"/>
              </w:rPr>
            </w:pPr>
          </w:p>
        </w:tc>
        <w:tc>
          <w:tcPr>
            <w:tcW w:w="1062" w:type="dxa"/>
          </w:tcPr>
          <w:p w:rsidR="00B7056E" w:rsidRDefault="00B7056E" w:rsidP="009D5767">
            <w:pPr>
              <w:rPr>
                <w:rFonts w:cstheme="minorHAnsi"/>
              </w:rPr>
            </w:pPr>
          </w:p>
        </w:tc>
        <w:tc>
          <w:tcPr>
            <w:tcW w:w="1942" w:type="dxa"/>
          </w:tcPr>
          <w:p w:rsidR="00B7056E" w:rsidRDefault="000B4DAF" w:rsidP="009D5767">
            <w:pPr>
              <w:rPr>
                <w:rFonts w:cstheme="minorHAnsi"/>
              </w:rPr>
            </w:pPr>
            <w:r>
              <w:rPr>
                <w:rFonts w:cstheme="minorHAnsi"/>
              </w:rPr>
              <w:t>Joe Cabrales/Rebeccah Warren-Marlatt and Ricky Shabazz</w:t>
            </w:r>
          </w:p>
        </w:tc>
      </w:tr>
      <w:tr w:rsidR="000E333C" w:rsidTr="00E3277B">
        <w:tc>
          <w:tcPr>
            <w:tcW w:w="797" w:type="dxa"/>
          </w:tcPr>
          <w:p w:rsidR="000E333C" w:rsidRDefault="000E333C" w:rsidP="009D5767">
            <w:pPr>
              <w:jc w:val="center"/>
              <w:rPr>
                <w:rFonts w:cstheme="minorHAnsi"/>
                <w:b/>
              </w:rPr>
            </w:pPr>
            <w:r>
              <w:rPr>
                <w:rFonts w:cstheme="minorHAnsi"/>
                <w:b/>
              </w:rPr>
              <w:lastRenderedPageBreak/>
              <w:t>0</w:t>
            </w:r>
          </w:p>
        </w:tc>
        <w:tc>
          <w:tcPr>
            <w:tcW w:w="1521" w:type="dxa"/>
          </w:tcPr>
          <w:p w:rsidR="000E333C" w:rsidRDefault="000E333C" w:rsidP="009D5767">
            <w:pPr>
              <w:jc w:val="both"/>
              <w:rPr>
                <w:rFonts w:cstheme="minorHAnsi"/>
                <w:color w:val="000000" w:themeColor="text1"/>
              </w:rPr>
            </w:pPr>
            <w:r>
              <w:rPr>
                <w:rFonts w:cstheme="minorHAnsi"/>
                <w:color w:val="000000" w:themeColor="text1"/>
              </w:rPr>
              <w:t xml:space="preserve">Local Educational Agency (LEA) </w:t>
            </w:r>
            <w:proofErr w:type="spellStart"/>
            <w:r>
              <w:rPr>
                <w:rFonts w:cstheme="minorHAnsi"/>
                <w:color w:val="000000" w:themeColor="text1"/>
              </w:rPr>
              <w:t>Medi</w:t>
            </w:r>
            <w:proofErr w:type="spellEnd"/>
            <w:r>
              <w:rPr>
                <w:rFonts w:cstheme="minorHAnsi"/>
                <w:color w:val="000000" w:themeColor="text1"/>
              </w:rPr>
              <w:t>-Cal billing program</w:t>
            </w:r>
          </w:p>
        </w:tc>
        <w:tc>
          <w:tcPr>
            <w:tcW w:w="5615" w:type="dxa"/>
          </w:tcPr>
          <w:p w:rsidR="000E333C" w:rsidRPr="0096350F" w:rsidRDefault="003304F0" w:rsidP="0096350F">
            <w:pPr>
              <w:rPr>
                <w:rFonts w:cstheme="minorHAnsi"/>
              </w:rPr>
            </w:pPr>
            <w:r>
              <w:rPr>
                <w:rFonts w:cstheme="minorHAnsi"/>
              </w:rPr>
              <w:t xml:space="preserve">SBVC and CHC Student Health Services are applying for LEA Provider Enrollment in the LEA </w:t>
            </w:r>
            <w:proofErr w:type="spellStart"/>
            <w:r>
              <w:rPr>
                <w:rFonts w:cstheme="minorHAnsi"/>
              </w:rPr>
              <w:t>Medi</w:t>
            </w:r>
            <w:proofErr w:type="spellEnd"/>
            <w:r>
              <w:rPr>
                <w:rFonts w:cstheme="minorHAnsi"/>
              </w:rPr>
              <w:t xml:space="preserve">-Cal billing option program with the California Department of Health Care Services.  Once approved by the state for this </w:t>
            </w:r>
            <w:proofErr w:type="spellStart"/>
            <w:r>
              <w:rPr>
                <w:rFonts w:cstheme="minorHAnsi"/>
              </w:rPr>
              <w:t>Medi</w:t>
            </w:r>
            <w:proofErr w:type="spellEnd"/>
            <w:r>
              <w:rPr>
                <w:rFonts w:cstheme="minorHAnsi"/>
              </w:rPr>
              <w:t xml:space="preserve">-Cal program, the colleges will be able to receive some supplemental income for some of the services we provide.  The colleges are contracting with MBT to help with the billing for this program and MBT will need Colleague student information uploaded to them so they can determine which of our students are eligible for </w:t>
            </w:r>
            <w:proofErr w:type="spellStart"/>
            <w:r>
              <w:rPr>
                <w:rFonts w:cstheme="minorHAnsi"/>
              </w:rPr>
              <w:t>Medi</w:t>
            </w:r>
            <w:proofErr w:type="spellEnd"/>
            <w:r>
              <w:rPr>
                <w:rFonts w:cstheme="minorHAnsi"/>
              </w:rPr>
              <w:t>-Cal billing</w:t>
            </w:r>
          </w:p>
        </w:tc>
        <w:tc>
          <w:tcPr>
            <w:tcW w:w="1253" w:type="dxa"/>
          </w:tcPr>
          <w:p w:rsidR="000E333C" w:rsidRPr="00F44C94" w:rsidRDefault="00F44C94" w:rsidP="009D5767">
            <w:pPr>
              <w:rPr>
                <w:rFonts w:cstheme="minorHAnsi"/>
                <w:b/>
              </w:rPr>
            </w:pPr>
            <w:r w:rsidRPr="00F44C94">
              <w:rPr>
                <w:rFonts w:cstheme="minorHAnsi"/>
                <w:b/>
                <w:color w:val="FF0000"/>
              </w:rPr>
              <w:t>Tabled</w:t>
            </w:r>
          </w:p>
        </w:tc>
        <w:tc>
          <w:tcPr>
            <w:tcW w:w="1248" w:type="dxa"/>
          </w:tcPr>
          <w:p w:rsidR="000E333C" w:rsidRDefault="000E333C" w:rsidP="009D5767">
            <w:pPr>
              <w:rPr>
                <w:rFonts w:cstheme="minorHAnsi"/>
              </w:rPr>
            </w:pPr>
          </w:p>
        </w:tc>
        <w:tc>
          <w:tcPr>
            <w:tcW w:w="1062" w:type="dxa"/>
          </w:tcPr>
          <w:p w:rsidR="000E333C" w:rsidRDefault="000E333C" w:rsidP="009D5767">
            <w:pPr>
              <w:rPr>
                <w:rFonts w:cstheme="minorHAnsi"/>
              </w:rPr>
            </w:pPr>
          </w:p>
        </w:tc>
        <w:tc>
          <w:tcPr>
            <w:tcW w:w="1942" w:type="dxa"/>
          </w:tcPr>
          <w:p w:rsidR="000E333C" w:rsidRDefault="003304F0" w:rsidP="009D5767">
            <w:pPr>
              <w:rPr>
                <w:rFonts w:cstheme="minorHAnsi"/>
              </w:rPr>
            </w:pPr>
            <w:r>
              <w:rPr>
                <w:rFonts w:cstheme="minorHAnsi"/>
              </w:rPr>
              <w:t>Elaine Akers/Ricky Shabazz and Joe Cabrales/Rebeccah Warren-Marlatt</w:t>
            </w:r>
          </w:p>
        </w:tc>
      </w:tr>
    </w:tbl>
    <w:p w:rsidR="00462F02" w:rsidRDefault="00462F02" w:rsidP="007A2DB5">
      <w:pPr>
        <w:rPr>
          <w:rFonts w:cstheme="minorHAnsi"/>
        </w:rPr>
      </w:pPr>
    </w:p>
    <w:sectPr w:rsidR="00462F02" w:rsidSect="00E40B13">
      <w:headerReference w:type="default" r:id="rId7"/>
      <w:pgSz w:w="15840" w:h="12240" w:orient="landscape"/>
      <w:pgMar w:top="99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24" w:rsidRDefault="007F0124" w:rsidP="00E40B13">
      <w:pPr>
        <w:spacing w:after="0" w:line="240" w:lineRule="auto"/>
      </w:pPr>
      <w:r>
        <w:separator/>
      </w:r>
    </w:p>
  </w:endnote>
  <w:endnote w:type="continuationSeparator" w:id="0">
    <w:p w:rsidR="007F0124" w:rsidRDefault="007F0124" w:rsidP="00E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24" w:rsidRDefault="007F0124" w:rsidP="00E40B13">
      <w:pPr>
        <w:spacing w:after="0" w:line="240" w:lineRule="auto"/>
      </w:pPr>
      <w:r>
        <w:separator/>
      </w:r>
    </w:p>
  </w:footnote>
  <w:footnote w:type="continuationSeparator" w:id="0">
    <w:p w:rsidR="007F0124" w:rsidRDefault="007F0124" w:rsidP="00E4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06" w:rsidRPr="00E40B13" w:rsidRDefault="00E40B13" w:rsidP="00E45606">
    <w:pPr>
      <w:pStyle w:val="Header"/>
      <w:jc w:val="center"/>
      <w:rPr>
        <w:b/>
        <w:sz w:val="28"/>
        <w:szCs w:val="28"/>
      </w:rPr>
    </w:pPr>
    <w:r w:rsidRPr="00E40B13">
      <w:rPr>
        <w:b/>
        <w:sz w:val="28"/>
        <w:szCs w:val="28"/>
      </w:rPr>
      <w:t xml:space="preserve">Project </w:t>
    </w:r>
    <w:r w:rsidR="007856FB">
      <w:rPr>
        <w:b/>
        <w:sz w:val="28"/>
        <w:szCs w:val="28"/>
      </w:rPr>
      <w:t>List</w:t>
    </w:r>
    <w:r w:rsidRPr="00E40B13">
      <w:rPr>
        <w:b/>
        <w:sz w:val="28"/>
        <w:szCs w:val="28"/>
      </w:rPr>
      <w:t xml:space="preserve"> for</w:t>
    </w:r>
    <w:r w:rsidR="000A6361">
      <w:rPr>
        <w:b/>
        <w:sz w:val="28"/>
        <w:szCs w:val="28"/>
      </w:rPr>
      <w:t xml:space="preserve"> Summer</w:t>
    </w:r>
    <w:r w:rsidR="0004772F">
      <w:rPr>
        <w:b/>
        <w:sz w:val="28"/>
        <w:szCs w:val="28"/>
      </w:rPr>
      <w:t xml:space="preserve"> 2017</w:t>
    </w:r>
    <w:r w:rsidR="00E45606">
      <w:rPr>
        <w:b/>
        <w:sz w:val="28"/>
        <w:szCs w:val="28"/>
      </w:rPr>
      <w:t xml:space="preserve"> Cycle</w:t>
    </w:r>
  </w:p>
  <w:p w:rsidR="00E40B13" w:rsidRDefault="00E4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D"/>
    <w:rsid w:val="00015D2D"/>
    <w:rsid w:val="000315DC"/>
    <w:rsid w:val="000417E0"/>
    <w:rsid w:val="0004772F"/>
    <w:rsid w:val="00057317"/>
    <w:rsid w:val="000769F1"/>
    <w:rsid w:val="0008696E"/>
    <w:rsid w:val="0009110F"/>
    <w:rsid w:val="00092B7F"/>
    <w:rsid w:val="000A6361"/>
    <w:rsid w:val="000B4DAF"/>
    <w:rsid w:val="000C0DC6"/>
    <w:rsid w:val="000E333C"/>
    <w:rsid w:val="000E4200"/>
    <w:rsid w:val="00155F3D"/>
    <w:rsid w:val="00156608"/>
    <w:rsid w:val="00193929"/>
    <w:rsid w:val="001C0460"/>
    <w:rsid w:val="001D39B9"/>
    <w:rsid w:val="001D6AFB"/>
    <w:rsid w:val="001E339C"/>
    <w:rsid w:val="00210242"/>
    <w:rsid w:val="00244825"/>
    <w:rsid w:val="002726D3"/>
    <w:rsid w:val="002922A4"/>
    <w:rsid w:val="002D58E8"/>
    <w:rsid w:val="003304F0"/>
    <w:rsid w:val="00364BCD"/>
    <w:rsid w:val="00387AC2"/>
    <w:rsid w:val="003F0B9D"/>
    <w:rsid w:val="0040192D"/>
    <w:rsid w:val="00401A04"/>
    <w:rsid w:val="00462F02"/>
    <w:rsid w:val="004723C4"/>
    <w:rsid w:val="00481445"/>
    <w:rsid w:val="004B4342"/>
    <w:rsid w:val="004F62FA"/>
    <w:rsid w:val="004F7FB3"/>
    <w:rsid w:val="0051656F"/>
    <w:rsid w:val="00516DDF"/>
    <w:rsid w:val="0053725A"/>
    <w:rsid w:val="00563538"/>
    <w:rsid w:val="0057730C"/>
    <w:rsid w:val="005A5555"/>
    <w:rsid w:val="005A6799"/>
    <w:rsid w:val="005D738C"/>
    <w:rsid w:val="006008C4"/>
    <w:rsid w:val="00602AC2"/>
    <w:rsid w:val="00623055"/>
    <w:rsid w:val="0063486F"/>
    <w:rsid w:val="006358FE"/>
    <w:rsid w:val="00647E3A"/>
    <w:rsid w:val="00672508"/>
    <w:rsid w:val="00683850"/>
    <w:rsid w:val="006D03C5"/>
    <w:rsid w:val="006E6586"/>
    <w:rsid w:val="006F15AC"/>
    <w:rsid w:val="00717201"/>
    <w:rsid w:val="00717BAA"/>
    <w:rsid w:val="00780D9F"/>
    <w:rsid w:val="007856FB"/>
    <w:rsid w:val="00794F18"/>
    <w:rsid w:val="007A2DB5"/>
    <w:rsid w:val="007E130A"/>
    <w:rsid w:val="007F0124"/>
    <w:rsid w:val="008151E4"/>
    <w:rsid w:val="00864802"/>
    <w:rsid w:val="00871F60"/>
    <w:rsid w:val="00875CBA"/>
    <w:rsid w:val="0089356F"/>
    <w:rsid w:val="008A657D"/>
    <w:rsid w:val="008B5FA7"/>
    <w:rsid w:val="008D4632"/>
    <w:rsid w:val="00926045"/>
    <w:rsid w:val="009352F9"/>
    <w:rsid w:val="00954E2B"/>
    <w:rsid w:val="00962679"/>
    <w:rsid w:val="0096350F"/>
    <w:rsid w:val="00984FAD"/>
    <w:rsid w:val="00987DAD"/>
    <w:rsid w:val="009C1222"/>
    <w:rsid w:val="009D5767"/>
    <w:rsid w:val="009D78E7"/>
    <w:rsid w:val="009F0FD8"/>
    <w:rsid w:val="00A5251D"/>
    <w:rsid w:val="00A63CA4"/>
    <w:rsid w:val="00A93673"/>
    <w:rsid w:val="00AD059C"/>
    <w:rsid w:val="00AD1F33"/>
    <w:rsid w:val="00AD60B9"/>
    <w:rsid w:val="00AF7888"/>
    <w:rsid w:val="00B07D20"/>
    <w:rsid w:val="00B20FA8"/>
    <w:rsid w:val="00B7056E"/>
    <w:rsid w:val="00B72653"/>
    <w:rsid w:val="00BA1BAB"/>
    <w:rsid w:val="00BB1702"/>
    <w:rsid w:val="00BE16C4"/>
    <w:rsid w:val="00BE6A32"/>
    <w:rsid w:val="00C73111"/>
    <w:rsid w:val="00C97BA0"/>
    <w:rsid w:val="00D24AD6"/>
    <w:rsid w:val="00D86FC6"/>
    <w:rsid w:val="00DA2352"/>
    <w:rsid w:val="00DA7AEB"/>
    <w:rsid w:val="00DD1181"/>
    <w:rsid w:val="00E04FB9"/>
    <w:rsid w:val="00E1475B"/>
    <w:rsid w:val="00E3277B"/>
    <w:rsid w:val="00E40B13"/>
    <w:rsid w:val="00E44A02"/>
    <w:rsid w:val="00E45606"/>
    <w:rsid w:val="00E76788"/>
    <w:rsid w:val="00EC21FC"/>
    <w:rsid w:val="00EE1F3C"/>
    <w:rsid w:val="00F322FA"/>
    <w:rsid w:val="00F44C94"/>
    <w:rsid w:val="00F52585"/>
    <w:rsid w:val="00F56344"/>
    <w:rsid w:val="00F85CA9"/>
    <w:rsid w:val="00F927D9"/>
    <w:rsid w:val="00FB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39C1-C5FE-44AE-A377-4309B6E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D2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4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13"/>
  </w:style>
  <w:style w:type="paragraph" w:styleId="Footer">
    <w:name w:val="footer"/>
    <w:basedOn w:val="Normal"/>
    <w:link w:val="FooterChar"/>
    <w:uiPriority w:val="99"/>
    <w:unhideWhenUsed/>
    <w:rsid w:val="00E4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13"/>
  </w:style>
  <w:style w:type="paragraph" w:styleId="BalloonText">
    <w:name w:val="Balloon Text"/>
    <w:basedOn w:val="Normal"/>
    <w:link w:val="BalloonTextChar"/>
    <w:uiPriority w:val="99"/>
    <w:semiHidden/>
    <w:unhideWhenUsed/>
    <w:rsid w:val="00E4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1711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gkuck</dc:creator>
  <cp:lastModifiedBy>Leon, Mary Colleen</cp:lastModifiedBy>
  <cp:revision>4</cp:revision>
  <cp:lastPrinted>2017-05-23T18:44:00Z</cp:lastPrinted>
  <dcterms:created xsi:type="dcterms:W3CDTF">2017-05-23T18:21:00Z</dcterms:created>
  <dcterms:modified xsi:type="dcterms:W3CDTF">2017-05-23T18:44:00Z</dcterms:modified>
</cp:coreProperties>
</file>