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margin" w:tblpXSpec="center" w:tblpY="-1055"/>
        <w:tblW w:w="14766" w:type="dxa"/>
        <w:tblLook w:val="04A0" w:firstRow="1" w:lastRow="0" w:firstColumn="1" w:lastColumn="0" w:noHBand="0" w:noVBand="1"/>
      </w:tblPr>
      <w:tblGrid>
        <w:gridCol w:w="797"/>
        <w:gridCol w:w="2359"/>
        <w:gridCol w:w="5801"/>
        <w:gridCol w:w="1570"/>
        <w:gridCol w:w="1248"/>
        <w:gridCol w:w="1062"/>
        <w:gridCol w:w="1929"/>
      </w:tblGrid>
      <w:tr w:rsidR="00F322FA" w:rsidRPr="009C1222" w:rsidTr="00782BCB">
        <w:tc>
          <w:tcPr>
            <w:tcW w:w="797" w:type="dxa"/>
          </w:tcPr>
          <w:p w:rsidR="003F0B9D" w:rsidRPr="00F85CA9" w:rsidRDefault="003F0B9D" w:rsidP="00782BCB">
            <w:pPr>
              <w:jc w:val="center"/>
              <w:rPr>
                <w:rFonts w:cstheme="minorHAnsi"/>
                <w:b/>
                <w:sz w:val="28"/>
                <w:szCs w:val="28"/>
              </w:rPr>
            </w:pPr>
            <w:bookmarkStart w:id="0" w:name="_GoBack"/>
            <w:bookmarkEnd w:id="0"/>
            <w:r w:rsidRPr="00F85CA9">
              <w:rPr>
                <w:rFonts w:cstheme="minorHAnsi"/>
                <w:b/>
                <w:sz w:val="28"/>
                <w:szCs w:val="28"/>
              </w:rPr>
              <w:t>Rank</w:t>
            </w:r>
          </w:p>
        </w:tc>
        <w:tc>
          <w:tcPr>
            <w:tcW w:w="2359" w:type="dxa"/>
          </w:tcPr>
          <w:p w:rsidR="003F0B9D" w:rsidRPr="00F85CA9" w:rsidRDefault="003F0B9D" w:rsidP="00782BCB">
            <w:pPr>
              <w:rPr>
                <w:rFonts w:cstheme="minorHAnsi"/>
                <w:b/>
                <w:sz w:val="28"/>
                <w:szCs w:val="28"/>
              </w:rPr>
            </w:pPr>
            <w:r w:rsidRPr="00F85CA9">
              <w:rPr>
                <w:rFonts w:cstheme="minorHAnsi"/>
                <w:b/>
                <w:sz w:val="28"/>
                <w:szCs w:val="28"/>
              </w:rPr>
              <w:t>Project Title</w:t>
            </w:r>
          </w:p>
        </w:tc>
        <w:tc>
          <w:tcPr>
            <w:tcW w:w="5801" w:type="dxa"/>
          </w:tcPr>
          <w:p w:rsidR="003F0B9D" w:rsidRPr="00F85CA9" w:rsidRDefault="003F0B9D" w:rsidP="00782BCB">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Internal</w:t>
            </w:r>
            <w:r w:rsidR="00F85CA9" w:rsidRPr="00F85CA9">
              <w:rPr>
                <w:rFonts w:cstheme="minorHAnsi"/>
                <w:b/>
                <w:sz w:val="28"/>
                <w:szCs w:val="28"/>
              </w:rPr>
              <w:t xml:space="preserve"> Projects</w:t>
            </w:r>
          </w:p>
        </w:tc>
        <w:tc>
          <w:tcPr>
            <w:tcW w:w="1570" w:type="dxa"/>
          </w:tcPr>
          <w:p w:rsidR="003F0B9D" w:rsidRPr="00F85CA9" w:rsidRDefault="005A6799" w:rsidP="00782BCB">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782BCB">
            <w:pPr>
              <w:jc w:val="center"/>
              <w:rPr>
                <w:rFonts w:cstheme="minorHAnsi"/>
                <w:b/>
                <w:sz w:val="28"/>
                <w:szCs w:val="28"/>
              </w:rPr>
            </w:pPr>
            <w:r w:rsidRPr="00F85CA9">
              <w:rPr>
                <w:rFonts w:cstheme="minorHAnsi"/>
                <w:b/>
                <w:sz w:val="28"/>
                <w:szCs w:val="28"/>
              </w:rPr>
              <w:t>Duration</w:t>
            </w:r>
            <w:r w:rsidR="00E60251">
              <w:rPr>
                <w:rFonts w:cstheme="minorHAnsi"/>
                <w:b/>
                <w:sz w:val="28"/>
                <w:szCs w:val="28"/>
              </w:rPr>
              <w:t xml:space="preserve"> (est.)</w:t>
            </w:r>
          </w:p>
        </w:tc>
        <w:tc>
          <w:tcPr>
            <w:tcW w:w="1062" w:type="dxa"/>
          </w:tcPr>
          <w:p w:rsidR="003F0B9D" w:rsidRPr="00F85CA9" w:rsidRDefault="003F0B9D" w:rsidP="00782BCB">
            <w:pPr>
              <w:jc w:val="center"/>
              <w:rPr>
                <w:rFonts w:cstheme="minorHAnsi"/>
                <w:b/>
                <w:sz w:val="28"/>
                <w:szCs w:val="28"/>
              </w:rPr>
            </w:pPr>
            <w:r w:rsidRPr="00F85CA9">
              <w:rPr>
                <w:rFonts w:cstheme="minorHAnsi"/>
                <w:b/>
                <w:sz w:val="28"/>
                <w:szCs w:val="28"/>
              </w:rPr>
              <w:t>Cost</w:t>
            </w:r>
            <w:r w:rsidR="00E60251">
              <w:rPr>
                <w:rFonts w:cstheme="minorHAnsi"/>
                <w:b/>
                <w:sz w:val="28"/>
                <w:szCs w:val="28"/>
              </w:rPr>
              <w:t xml:space="preserve"> (est.)</w:t>
            </w:r>
          </w:p>
        </w:tc>
        <w:tc>
          <w:tcPr>
            <w:tcW w:w="1929" w:type="dxa"/>
          </w:tcPr>
          <w:p w:rsidR="003F0B9D" w:rsidRPr="00F85CA9" w:rsidRDefault="003F0B9D" w:rsidP="00782BCB">
            <w:pPr>
              <w:jc w:val="center"/>
              <w:rPr>
                <w:rFonts w:cstheme="minorHAnsi"/>
                <w:b/>
                <w:sz w:val="28"/>
                <w:szCs w:val="28"/>
              </w:rPr>
            </w:pPr>
            <w:r w:rsidRPr="00F85CA9">
              <w:rPr>
                <w:rFonts w:cstheme="minorHAnsi"/>
                <w:b/>
                <w:sz w:val="28"/>
                <w:szCs w:val="28"/>
              </w:rPr>
              <w:t>Sponsor</w:t>
            </w:r>
          </w:p>
        </w:tc>
      </w:tr>
      <w:tr w:rsidR="0004772F" w:rsidRPr="009C1222" w:rsidTr="005C1566">
        <w:tc>
          <w:tcPr>
            <w:tcW w:w="797" w:type="dxa"/>
          </w:tcPr>
          <w:p w:rsidR="0004772F" w:rsidRPr="009614F5" w:rsidRDefault="0004772F" w:rsidP="00782BCB">
            <w:pPr>
              <w:jc w:val="center"/>
              <w:rPr>
                <w:rFonts w:cstheme="minorHAnsi"/>
                <w:b/>
              </w:rPr>
            </w:pPr>
            <w:r w:rsidRPr="009614F5">
              <w:rPr>
                <w:rFonts w:cstheme="minorHAnsi"/>
                <w:b/>
              </w:rPr>
              <w:t>1</w:t>
            </w:r>
          </w:p>
        </w:tc>
        <w:tc>
          <w:tcPr>
            <w:tcW w:w="2359" w:type="dxa"/>
            <w:shd w:val="clear" w:color="auto" w:fill="auto"/>
          </w:tcPr>
          <w:p w:rsidR="0004772F" w:rsidRPr="005C1566" w:rsidRDefault="0004772F" w:rsidP="008E20CF">
            <w:pPr>
              <w:jc w:val="both"/>
              <w:rPr>
                <w:rFonts w:cstheme="minorHAnsi"/>
                <w:color w:val="000000" w:themeColor="text1"/>
              </w:rPr>
            </w:pPr>
            <w:r w:rsidRPr="005C1566">
              <w:rPr>
                <w:rFonts w:cstheme="minorHAnsi"/>
                <w:color w:val="000000" w:themeColor="text1"/>
              </w:rPr>
              <w:t>Enterprise Resource Planning (ERP) implementation</w:t>
            </w:r>
          </w:p>
        </w:tc>
        <w:tc>
          <w:tcPr>
            <w:tcW w:w="5801" w:type="dxa"/>
            <w:shd w:val="clear" w:color="auto" w:fill="auto"/>
          </w:tcPr>
          <w:p w:rsidR="0004772F" w:rsidRDefault="0004772F" w:rsidP="00782BCB">
            <w:r w:rsidRPr="005C1566">
              <w:t>The District is going through a process to gain financial independence. A major part of this process is to move off County of San Bernardino Schools systems such as Financial 2000 and EPICS to our own Fiscal and HR ERP. Towards that end, the District has decided to go with Oracle for the Finance module and ADP for HR/Payroll. TESS is tasked with project managing this implementation as well as programming the necessary interfaces between Oracle/ADP to our various internal systems. There will also be a data warehouse implementation as well that ties in various data sources into a central system.</w:t>
            </w:r>
          </w:p>
          <w:p w:rsidR="00E33FC2" w:rsidRDefault="00E33FC2" w:rsidP="00782BCB"/>
          <w:p w:rsidR="00E33FC2" w:rsidRPr="005C1566" w:rsidRDefault="00E33FC2" w:rsidP="00782BCB">
            <w:pPr>
              <w:rPr>
                <w:rFonts w:cstheme="minorHAnsi"/>
              </w:rPr>
            </w:pPr>
          </w:p>
        </w:tc>
        <w:tc>
          <w:tcPr>
            <w:tcW w:w="1570" w:type="dxa"/>
            <w:shd w:val="clear" w:color="auto" w:fill="auto"/>
          </w:tcPr>
          <w:p w:rsidR="0004772F" w:rsidRPr="005C1566" w:rsidRDefault="00CE2703" w:rsidP="00782BCB">
            <w:pPr>
              <w:rPr>
                <w:rFonts w:cstheme="minorHAnsi"/>
              </w:rPr>
            </w:pPr>
            <w:r>
              <w:rPr>
                <w:rFonts w:cstheme="minorHAnsi"/>
              </w:rPr>
              <w:t>December, 2018</w:t>
            </w:r>
          </w:p>
        </w:tc>
        <w:tc>
          <w:tcPr>
            <w:tcW w:w="1248" w:type="dxa"/>
            <w:shd w:val="clear" w:color="auto" w:fill="auto"/>
          </w:tcPr>
          <w:p w:rsidR="0004772F" w:rsidRPr="005C1566" w:rsidRDefault="005A47F3" w:rsidP="00782BCB">
            <w:pPr>
              <w:rPr>
                <w:rFonts w:cstheme="minorHAnsi"/>
              </w:rPr>
            </w:pPr>
            <w:r w:rsidRPr="005C1566">
              <w:rPr>
                <w:rFonts w:cstheme="minorHAnsi"/>
              </w:rPr>
              <w:t>24</w:t>
            </w:r>
            <w:r w:rsidR="0004772F" w:rsidRPr="005C1566">
              <w:rPr>
                <w:rFonts w:cstheme="minorHAnsi"/>
              </w:rPr>
              <w:t xml:space="preserve"> months</w:t>
            </w:r>
          </w:p>
        </w:tc>
        <w:tc>
          <w:tcPr>
            <w:tcW w:w="1062" w:type="dxa"/>
            <w:shd w:val="clear" w:color="auto" w:fill="auto"/>
          </w:tcPr>
          <w:p w:rsidR="0004772F" w:rsidRPr="005C1566" w:rsidRDefault="0004772F" w:rsidP="00782BCB">
            <w:pPr>
              <w:tabs>
                <w:tab w:val="left" w:pos="320"/>
              </w:tabs>
              <w:rPr>
                <w:rFonts w:cstheme="minorHAnsi"/>
              </w:rPr>
            </w:pPr>
            <w:r w:rsidRPr="005C1566">
              <w:rPr>
                <w:rFonts w:cstheme="minorHAnsi"/>
              </w:rPr>
              <w:t>Time and materials</w:t>
            </w:r>
          </w:p>
        </w:tc>
        <w:tc>
          <w:tcPr>
            <w:tcW w:w="1929" w:type="dxa"/>
            <w:shd w:val="clear" w:color="auto" w:fill="auto"/>
          </w:tcPr>
          <w:p w:rsidR="0004772F" w:rsidRPr="005C1566" w:rsidRDefault="0004772F" w:rsidP="00782BCB">
            <w:pPr>
              <w:rPr>
                <w:rFonts w:cstheme="minorHAnsi"/>
              </w:rPr>
            </w:pPr>
            <w:r w:rsidRPr="005C1566">
              <w:rPr>
                <w:rFonts w:cstheme="minorHAnsi"/>
              </w:rPr>
              <w:t>Yvette Tram/Jose Torres</w:t>
            </w:r>
          </w:p>
        </w:tc>
      </w:tr>
      <w:tr w:rsidR="0004772F" w:rsidRPr="009C1222" w:rsidTr="005C1566">
        <w:tc>
          <w:tcPr>
            <w:tcW w:w="797" w:type="dxa"/>
          </w:tcPr>
          <w:p w:rsidR="0004772F" w:rsidRPr="005C1566" w:rsidRDefault="0004772F" w:rsidP="00782BCB">
            <w:pPr>
              <w:jc w:val="center"/>
              <w:rPr>
                <w:rFonts w:cstheme="minorHAnsi"/>
                <w:b/>
              </w:rPr>
            </w:pPr>
            <w:r w:rsidRPr="005C1566">
              <w:rPr>
                <w:rFonts w:cstheme="minorHAnsi"/>
                <w:b/>
              </w:rPr>
              <w:t>2</w:t>
            </w:r>
          </w:p>
        </w:tc>
        <w:tc>
          <w:tcPr>
            <w:tcW w:w="2359" w:type="dxa"/>
            <w:shd w:val="clear" w:color="auto" w:fill="auto"/>
          </w:tcPr>
          <w:p w:rsidR="0004772F" w:rsidRPr="005C1566" w:rsidRDefault="003843D8" w:rsidP="00782BCB">
            <w:pPr>
              <w:rPr>
                <w:rFonts w:cstheme="minorHAnsi"/>
                <w:color w:val="000000" w:themeColor="text1"/>
              </w:rPr>
            </w:pPr>
            <w:r w:rsidRPr="005C1566">
              <w:rPr>
                <w:rFonts w:cstheme="minorHAnsi"/>
                <w:color w:val="000000" w:themeColor="text1"/>
              </w:rPr>
              <w:t>Data Warehouse implementation</w:t>
            </w:r>
          </w:p>
          <w:p w:rsidR="0004772F" w:rsidRPr="005C1566" w:rsidRDefault="0004772F" w:rsidP="00782BCB">
            <w:pPr>
              <w:jc w:val="both"/>
              <w:rPr>
                <w:rFonts w:cstheme="minorHAnsi"/>
                <w:color w:val="000000" w:themeColor="text1"/>
              </w:rPr>
            </w:pPr>
          </w:p>
        </w:tc>
        <w:tc>
          <w:tcPr>
            <w:tcW w:w="5801" w:type="dxa"/>
            <w:shd w:val="clear" w:color="auto" w:fill="auto"/>
          </w:tcPr>
          <w:p w:rsidR="0004772F" w:rsidRPr="005C1566" w:rsidRDefault="003843D8" w:rsidP="00782BCB">
            <w:pPr>
              <w:rPr>
                <w:rFonts w:cstheme="minorHAnsi"/>
              </w:rPr>
            </w:pPr>
            <w:r w:rsidRPr="005C1566">
              <w:rPr>
                <w:rFonts w:cstheme="minorHAnsi"/>
              </w:rPr>
              <w:t>This project is to implement a district-wide data warehouse that researchers from both colleges and district can utilize to create dashboards, reports and other tools that aide in informed decisions.  This project entails integrating data from various sources such as our student information system and our fiscal enterprise resource system.</w:t>
            </w:r>
          </w:p>
          <w:p w:rsidR="0004772F" w:rsidRPr="005C1566" w:rsidRDefault="0004772F" w:rsidP="00782BCB">
            <w:pPr>
              <w:rPr>
                <w:rFonts w:cstheme="minorHAnsi"/>
              </w:rPr>
            </w:pPr>
          </w:p>
        </w:tc>
        <w:tc>
          <w:tcPr>
            <w:tcW w:w="1570" w:type="dxa"/>
            <w:shd w:val="clear" w:color="auto" w:fill="auto"/>
          </w:tcPr>
          <w:p w:rsidR="0004772F" w:rsidRPr="005C1566" w:rsidRDefault="00CE2703" w:rsidP="00782BCB">
            <w:pPr>
              <w:rPr>
                <w:rFonts w:cstheme="minorHAnsi"/>
              </w:rPr>
            </w:pPr>
            <w:r>
              <w:rPr>
                <w:rFonts w:cstheme="minorHAnsi"/>
              </w:rPr>
              <w:t>October, 2018</w:t>
            </w:r>
          </w:p>
        </w:tc>
        <w:tc>
          <w:tcPr>
            <w:tcW w:w="1248" w:type="dxa"/>
            <w:shd w:val="clear" w:color="auto" w:fill="auto"/>
          </w:tcPr>
          <w:p w:rsidR="0004772F" w:rsidRPr="005C1566" w:rsidRDefault="00B92EB1" w:rsidP="00782BCB">
            <w:pPr>
              <w:rPr>
                <w:rFonts w:cstheme="minorHAnsi"/>
              </w:rPr>
            </w:pPr>
            <w:r w:rsidRPr="005C1566">
              <w:rPr>
                <w:rFonts w:cstheme="minorHAnsi"/>
              </w:rPr>
              <w:t xml:space="preserve">500 </w:t>
            </w:r>
            <w:r w:rsidR="0004772F" w:rsidRPr="005C1566">
              <w:rPr>
                <w:rFonts w:cstheme="minorHAnsi"/>
              </w:rPr>
              <w:t>Hours</w:t>
            </w:r>
          </w:p>
        </w:tc>
        <w:tc>
          <w:tcPr>
            <w:tcW w:w="1062" w:type="dxa"/>
            <w:shd w:val="clear" w:color="auto" w:fill="auto"/>
          </w:tcPr>
          <w:p w:rsidR="0004772F" w:rsidRPr="005C1566" w:rsidRDefault="0004772F" w:rsidP="00782BCB">
            <w:pPr>
              <w:rPr>
                <w:rFonts w:cstheme="minorHAnsi"/>
              </w:rPr>
            </w:pPr>
            <w:r w:rsidRPr="005C1566">
              <w:rPr>
                <w:rFonts w:cstheme="minorHAnsi"/>
              </w:rPr>
              <w:t>Time and effort</w:t>
            </w:r>
          </w:p>
          <w:p w:rsidR="0004772F" w:rsidRPr="005C1566" w:rsidRDefault="0004772F" w:rsidP="00782BCB">
            <w:pPr>
              <w:tabs>
                <w:tab w:val="left" w:pos="320"/>
              </w:tabs>
              <w:rPr>
                <w:rFonts w:cstheme="minorHAnsi"/>
              </w:rPr>
            </w:pPr>
          </w:p>
        </w:tc>
        <w:tc>
          <w:tcPr>
            <w:tcW w:w="1929" w:type="dxa"/>
            <w:shd w:val="clear" w:color="auto" w:fill="auto"/>
          </w:tcPr>
          <w:p w:rsidR="0004772F" w:rsidRPr="005C1566" w:rsidRDefault="00B92EB1" w:rsidP="00782BCB">
            <w:pPr>
              <w:rPr>
                <w:rFonts w:cstheme="minorHAnsi"/>
              </w:rPr>
            </w:pPr>
            <w:r w:rsidRPr="005C1566">
              <w:rPr>
                <w:rFonts w:cstheme="minorHAnsi"/>
              </w:rPr>
              <w:t>Keith Wurtz, James Smith, Jeremiah Gilbert, Jose Torres/Andy Chang</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3</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Chart of Account (ERP)</w:t>
            </w:r>
          </w:p>
        </w:tc>
        <w:tc>
          <w:tcPr>
            <w:tcW w:w="5801" w:type="dxa"/>
          </w:tcPr>
          <w:p w:rsidR="00984FAD" w:rsidRPr="005C1566" w:rsidRDefault="00984FAD" w:rsidP="00782BCB">
            <w:r w:rsidRPr="005C1566">
              <w:t xml:space="preserve">With the implementation of the District’s new ERP system there have been district wide changes that need to be reflected in Colleague.  The District has chosen to change the Chart of Account string to be more in line with the State’s numbering schema found in the California Community Colleges Taxonomy of Programs. </w:t>
            </w:r>
          </w:p>
          <w:p w:rsidR="00984FAD" w:rsidRPr="005C1566" w:rsidRDefault="00984FAD" w:rsidP="00782BCB"/>
          <w:p w:rsidR="00984FAD" w:rsidRDefault="00984FAD" w:rsidP="00782BCB">
            <w:r w:rsidRPr="005C1566">
              <w:t xml:space="preserve">Currently the colleges create contracts for their hourly and overload faculty that are printed out and sent to payroll.  If the system is not updated with the new Account numbers, then they will be wrong on the contracts.  Also the changes to the string schema should also be reflected in enrollment fees, financial aid awards, scholarships and sponsorships.  </w:t>
            </w:r>
          </w:p>
          <w:p w:rsidR="00E33FC2" w:rsidRDefault="00E33FC2" w:rsidP="00782BCB"/>
          <w:p w:rsidR="00E33FC2" w:rsidRPr="005C1566" w:rsidRDefault="00E33FC2" w:rsidP="00782BCB">
            <w:pPr>
              <w:rPr>
                <w:rFonts w:cstheme="minorHAnsi"/>
              </w:rPr>
            </w:pPr>
          </w:p>
        </w:tc>
        <w:tc>
          <w:tcPr>
            <w:tcW w:w="1570" w:type="dxa"/>
          </w:tcPr>
          <w:p w:rsidR="00984FAD" w:rsidRPr="005C1566" w:rsidRDefault="00CE2703" w:rsidP="00782BCB">
            <w:pPr>
              <w:rPr>
                <w:rFonts w:cstheme="minorHAnsi"/>
              </w:rPr>
            </w:pPr>
            <w:r>
              <w:rPr>
                <w:rFonts w:cstheme="minorHAnsi"/>
              </w:rPr>
              <w:t>TBD</w:t>
            </w:r>
          </w:p>
        </w:tc>
        <w:tc>
          <w:tcPr>
            <w:tcW w:w="1248" w:type="dxa"/>
          </w:tcPr>
          <w:p w:rsidR="00984FAD" w:rsidRPr="005C1566" w:rsidRDefault="00984FAD" w:rsidP="00782BCB">
            <w:pPr>
              <w:rPr>
                <w:rFonts w:cstheme="minorHAnsi"/>
              </w:rPr>
            </w:pPr>
            <w:r w:rsidRPr="005C1566">
              <w:rPr>
                <w:rFonts w:cstheme="minorHAnsi"/>
              </w:rPr>
              <w:t>100 hours</w:t>
            </w:r>
          </w:p>
        </w:tc>
        <w:tc>
          <w:tcPr>
            <w:tcW w:w="1062" w:type="dxa"/>
          </w:tcPr>
          <w:p w:rsidR="00984FAD" w:rsidRPr="005C1566" w:rsidRDefault="00984FAD" w:rsidP="00782BCB">
            <w:pPr>
              <w:rPr>
                <w:rFonts w:cstheme="minorHAnsi"/>
              </w:rPr>
            </w:pPr>
            <w:r w:rsidRPr="005C1566">
              <w:rPr>
                <w:rFonts w:cstheme="minorHAnsi"/>
              </w:rPr>
              <w:t>Time and Materials</w:t>
            </w:r>
          </w:p>
        </w:tc>
        <w:tc>
          <w:tcPr>
            <w:tcW w:w="1929" w:type="dxa"/>
          </w:tcPr>
          <w:p w:rsidR="00984FAD" w:rsidRPr="005C1566" w:rsidRDefault="00984FAD" w:rsidP="00782BCB">
            <w:pPr>
              <w:rPr>
                <w:rFonts w:cstheme="minorHAnsi"/>
              </w:rPr>
            </w:pPr>
            <w:r w:rsidRPr="005C1566">
              <w:rPr>
                <w:rFonts w:cstheme="minorHAnsi"/>
              </w:rPr>
              <w:t>Yvette Tram/Jose Torres</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4</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SLO Cloud Service Area Outcomes</w:t>
            </w:r>
          </w:p>
        </w:tc>
        <w:tc>
          <w:tcPr>
            <w:tcW w:w="5801" w:type="dxa"/>
          </w:tcPr>
          <w:p w:rsidR="00984FAD" w:rsidRDefault="00984FAD" w:rsidP="00782BCB">
            <w:pPr>
              <w:rPr>
                <w:rFonts w:cstheme="minorHAnsi"/>
              </w:rPr>
            </w:pPr>
            <w:r w:rsidRPr="005C1566">
              <w:rPr>
                <w:rFonts w:cstheme="minorHAnsi"/>
              </w:rPr>
              <w:t xml:space="preserve">The purpose of this project is to update SLO Cloud to accommodate the entry of data and information related to program-level outcomes of service areas such as EOPS, </w:t>
            </w:r>
            <w:r w:rsidRPr="005C1566">
              <w:rPr>
                <w:rFonts w:cstheme="minorHAnsi"/>
              </w:rPr>
              <w:lastRenderedPageBreak/>
              <w:t xml:space="preserve">maintenance, Library, </w:t>
            </w:r>
            <w:proofErr w:type="spellStart"/>
            <w:r w:rsidRPr="005C1566">
              <w:rPr>
                <w:rFonts w:cstheme="minorHAnsi"/>
              </w:rPr>
              <w:t>etc</w:t>
            </w:r>
            <w:proofErr w:type="spellEnd"/>
            <w:r w:rsidRPr="005C1566">
              <w:rPr>
                <w:rFonts w:cstheme="minorHAnsi"/>
              </w:rPr>
              <w:t>…This is necessary for the 2016 follow-up report o ACCJC stating that a newly implemented cloud tool to accommodate service area outcomes was underway. The colleges wish to be able to demonstrate the use of the tool for their Midterm Repot to the commission. Currently there is no common repository for SAOs and every service areas process is different. The process for SAOs is not transparent to the college as a whole.</w:t>
            </w:r>
          </w:p>
          <w:p w:rsidR="00E33FC2" w:rsidRDefault="00E33FC2" w:rsidP="00782BCB">
            <w:pPr>
              <w:rPr>
                <w:rFonts w:cstheme="minorHAnsi"/>
              </w:rPr>
            </w:pPr>
          </w:p>
          <w:p w:rsidR="00E33FC2" w:rsidRPr="005C1566" w:rsidRDefault="00E33FC2" w:rsidP="00782BCB">
            <w:pPr>
              <w:rPr>
                <w:rFonts w:cstheme="minorHAnsi"/>
              </w:rPr>
            </w:pPr>
          </w:p>
        </w:tc>
        <w:tc>
          <w:tcPr>
            <w:tcW w:w="1570" w:type="dxa"/>
          </w:tcPr>
          <w:p w:rsidR="00984FAD" w:rsidRPr="005C1566" w:rsidRDefault="00CE2703" w:rsidP="00782BCB">
            <w:pPr>
              <w:rPr>
                <w:rFonts w:cstheme="minorHAnsi"/>
              </w:rPr>
            </w:pPr>
            <w:r>
              <w:rPr>
                <w:rFonts w:cstheme="minorHAnsi"/>
              </w:rPr>
              <w:lastRenderedPageBreak/>
              <w:t>December, 2018</w:t>
            </w:r>
          </w:p>
        </w:tc>
        <w:tc>
          <w:tcPr>
            <w:tcW w:w="1248" w:type="dxa"/>
          </w:tcPr>
          <w:p w:rsidR="00984FAD" w:rsidRPr="005C1566" w:rsidRDefault="00984FAD" w:rsidP="00782BCB">
            <w:pPr>
              <w:rPr>
                <w:rFonts w:cstheme="minorHAnsi"/>
              </w:rPr>
            </w:pPr>
            <w:r w:rsidRPr="005C1566">
              <w:rPr>
                <w:rFonts w:cstheme="minorHAnsi"/>
              </w:rPr>
              <w:t>240 hours</w:t>
            </w:r>
          </w:p>
        </w:tc>
        <w:tc>
          <w:tcPr>
            <w:tcW w:w="1062" w:type="dxa"/>
          </w:tcPr>
          <w:p w:rsidR="00984FAD" w:rsidRPr="005C1566" w:rsidRDefault="00984FAD" w:rsidP="00782BCB">
            <w:pPr>
              <w:rPr>
                <w:rFonts w:cstheme="minorHAnsi"/>
              </w:rPr>
            </w:pPr>
          </w:p>
        </w:tc>
        <w:tc>
          <w:tcPr>
            <w:tcW w:w="1929" w:type="dxa"/>
          </w:tcPr>
          <w:p w:rsidR="00984FAD" w:rsidRPr="005C1566" w:rsidRDefault="00803F66" w:rsidP="00782BCB">
            <w:pPr>
              <w:rPr>
                <w:rFonts w:cstheme="minorHAnsi"/>
              </w:rPr>
            </w:pPr>
            <w:r w:rsidRPr="005C1566">
              <w:rPr>
                <w:rFonts w:cstheme="minorHAnsi"/>
              </w:rPr>
              <w:t>Keith Wurtz/</w:t>
            </w:r>
            <w:r w:rsidR="00984FAD" w:rsidRPr="005C1566">
              <w:rPr>
                <w:rFonts w:cstheme="minorHAnsi"/>
              </w:rPr>
              <w:t>Wei Zhou</w:t>
            </w:r>
          </w:p>
        </w:tc>
      </w:tr>
      <w:tr w:rsidR="00984FAD" w:rsidRPr="009C1222" w:rsidTr="00782BCB">
        <w:tc>
          <w:tcPr>
            <w:tcW w:w="797" w:type="dxa"/>
          </w:tcPr>
          <w:p w:rsidR="00984FAD" w:rsidRPr="005C1566" w:rsidRDefault="00F44F08" w:rsidP="00782BCB">
            <w:pPr>
              <w:jc w:val="center"/>
              <w:rPr>
                <w:rFonts w:cstheme="minorHAnsi"/>
                <w:b/>
              </w:rPr>
            </w:pPr>
            <w:r w:rsidRPr="005C1566">
              <w:rPr>
                <w:rFonts w:cstheme="minorHAnsi"/>
                <w:b/>
              </w:rPr>
              <w:t>5</w:t>
            </w:r>
          </w:p>
        </w:tc>
        <w:tc>
          <w:tcPr>
            <w:tcW w:w="2359" w:type="dxa"/>
          </w:tcPr>
          <w:p w:rsidR="00984FAD" w:rsidRPr="005C1566" w:rsidRDefault="00984FAD" w:rsidP="00782BCB">
            <w:pPr>
              <w:jc w:val="both"/>
              <w:rPr>
                <w:rFonts w:cstheme="minorHAnsi"/>
                <w:color w:val="000000" w:themeColor="text1"/>
              </w:rPr>
            </w:pPr>
            <w:r w:rsidRPr="005C1566">
              <w:rPr>
                <w:rFonts w:cstheme="minorHAnsi"/>
                <w:color w:val="000000" w:themeColor="text1"/>
              </w:rPr>
              <w:t>BOG Eligibility between campuses</w:t>
            </w:r>
          </w:p>
        </w:tc>
        <w:tc>
          <w:tcPr>
            <w:tcW w:w="5801" w:type="dxa"/>
          </w:tcPr>
          <w:p w:rsidR="00984FAD" w:rsidRPr="005C1566" w:rsidRDefault="00984FAD" w:rsidP="00782BCB">
            <w:pPr>
              <w:rPr>
                <w:rFonts w:cstheme="minorHAnsi"/>
              </w:rPr>
            </w:pPr>
            <w:r w:rsidRPr="005C1566">
              <w:rPr>
                <w:rFonts w:cstheme="minorHAnsi"/>
              </w:rPr>
              <w:t>To comply with Title 5 regulations, the District must implement a process to identify students within the district who fail to meet the academic and progress standards for BOGFW and Priority Registration eligibility.  This request is made pursuant to the California Code of Regulations, Section 58621(a)(1) - Loss of Eligibility, which states:</w:t>
            </w:r>
          </w:p>
          <w:p w:rsidR="00984FAD" w:rsidRPr="005C1566" w:rsidRDefault="00984FAD" w:rsidP="00782BCB">
            <w:pPr>
              <w:rPr>
                <w:rFonts w:cstheme="minorHAnsi"/>
              </w:rPr>
            </w:pPr>
            <w:r w:rsidRPr="005C1566">
              <w:rPr>
                <w:rFonts w:cstheme="minorHAnsi"/>
              </w:rPr>
              <w:t>"Districts shall adopt policies providing that a student who is otherwise eligible for a Board of Governors (BOG) Fee Waiver shall become ineligible if the student is placed on academic or progress probation, as defined in section 55031(a) or (b), or any combination thereof for two consecutive primary terms "to determine if the student should be disqualified for BOGFW and Priority Registration at the two colleges.  The district does not currently have a way to automatically remove BOGFW/Priority Registration eligibility based on the student's probationary status.</w:t>
            </w:r>
          </w:p>
          <w:p w:rsidR="00984FAD" w:rsidRPr="005C1566" w:rsidRDefault="00984FAD" w:rsidP="00782BCB">
            <w:pPr>
              <w:rPr>
                <w:rFonts w:cstheme="minorHAnsi"/>
              </w:rPr>
            </w:pPr>
          </w:p>
          <w:p w:rsidR="00984FAD" w:rsidRDefault="00984FAD" w:rsidP="00782BCB">
            <w:pPr>
              <w:rPr>
                <w:rFonts w:cstheme="minorHAnsi"/>
              </w:rPr>
            </w:pPr>
            <w:r w:rsidRPr="005C1566">
              <w:rPr>
                <w:rFonts w:cstheme="minorHAnsi"/>
              </w:rPr>
              <w:t>Currently, the district is out of compliance with Title 5 regulations.</w:t>
            </w:r>
          </w:p>
          <w:p w:rsidR="00E33FC2" w:rsidRDefault="00E33FC2" w:rsidP="00782BCB">
            <w:pPr>
              <w:rPr>
                <w:rFonts w:cstheme="minorHAnsi"/>
              </w:rPr>
            </w:pPr>
          </w:p>
          <w:p w:rsidR="00E33FC2" w:rsidRPr="005C1566" w:rsidRDefault="00E33FC2" w:rsidP="00782BCB">
            <w:pPr>
              <w:rPr>
                <w:rFonts w:cstheme="minorHAnsi"/>
              </w:rPr>
            </w:pPr>
          </w:p>
        </w:tc>
        <w:tc>
          <w:tcPr>
            <w:tcW w:w="1570" w:type="dxa"/>
          </w:tcPr>
          <w:p w:rsidR="00984FAD" w:rsidRPr="005C1566" w:rsidRDefault="00CE2703" w:rsidP="00782BCB">
            <w:pPr>
              <w:rPr>
                <w:rFonts w:cstheme="minorHAnsi"/>
              </w:rPr>
            </w:pPr>
            <w:r>
              <w:rPr>
                <w:rFonts w:cstheme="minorHAnsi"/>
              </w:rPr>
              <w:t>January, 2019</w:t>
            </w:r>
          </w:p>
        </w:tc>
        <w:tc>
          <w:tcPr>
            <w:tcW w:w="1248" w:type="dxa"/>
          </w:tcPr>
          <w:p w:rsidR="00984FAD" w:rsidRPr="005C1566" w:rsidRDefault="00984FAD" w:rsidP="00782BCB">
            <w:pPr>
              <w:rPr>
                <w:rFonts w:cstheme="minorHAnsi"/>
              </w:rPr>
            </w:pPr>
            <w:r w:rsidRPr="005C1566">
              <w:rPr>
                <w:rFonts w:cstheme="minorHAnsi"/>
              </w:rPr>
              <w:t>900</w:t>
            </w:r>
          </w:p>
        </w:tc>
        <w:tc>
          <w:tcPr>
            <w:tcW w:w="1062" w:type="dxa"/>
          </w:tcPr>
          <w:p w:rsidR="00984FAD" w:rsidRPr="005C1566" w:rsidRDefault="00984FAD" w:rsidP="00782BCB">
            <w:pPr>
              <w:rPr>
                <w:rFonts w:cstheme="minorHAnsi"/>
              </w:rPr>
            </w:pPr>
            <w:r w:rsidRPr="005C1566">
              <w:rPr>
                <w:rFonts w:cstheme="minorHAnsi"/>
              </w:rPr>
              <w:t>Time and Materials</w:t>
            </w:r>
          </w:p>
        </w:tc>
        <w:tc>
          <w:tcPr>
            <w:tcW w:w="1929" w:type="dxa"/>
          </w:tcPr>
          <w:p w:rsidR="00984FAD" w:rsidRPr="005C1566" w:rsidRDefault="00984FAD" w:rsidP="00782BCB">
            <w:pPr>
              <w:rPr>
                <w:rFonts w:cstheme="minorHAnsi"/>
              </w:rPr>
            </w:pPr>
            <w:r w:rsidRPr="005C1566">
              <w:rPr>
                <w:rFonts w:cstheme="minorHAnsi"/>
              </w:rPr>
              <w:t>Joe Cabrales/Rebeccah Warren-Marlatt and Ricky Shabazz</w:t>
            </w:r>
          </w:p>
        </w:tc>
      </w:tr>
      <w:tr w:rsidR="0056037D" w:rsidRPr="009C1222" w:rsidTr="00782BCB">
        <w:tc>
          <w:tcPr>
            <w:tcW w:w="797" w:type="dxa"/>
          </w:tcPr>
          <w:p w:rsidR="0056037D" w:rsidRPr="005C1566" w:rsidRDefault="0056037D" w:rsidP="0056037D">
            <w:pPr>
              <w:jc w:val="center"/>
              <w:rPr>
                <w:rFonts w:cstheme="minorHAnsi"/>
                <w:b/>
              </w:rPr>
            </w:pPr>
            <w:r w:rsidRPr="005C1566">
              <w:rPr>
                <w:rFonts w:cstheme="minorHAnsi"/>
                <w:b/>
              </w:rPr>
              <w:t>6</w:t>
            </w:r>
          </w:p>
        </w:tc>
        <w:tc>
          <w:tcPr>
            <w:tcW w:w="2359" w:type="dxa"/>
          </w:tcPr>
          <w:p w:rsidR="0056037D" w:rsidRPr="005C1566" w:rsidRDefault="0056037D" w:rsidP="0056037D">
            <w:pPr>
              <w:jc w:val="both"/>
              <w:rPr>
                <w:rFonts w:cstheme="minorHAnsi"/>
                <w:color w:val="000000" w:themeColor="text1"/>
              </w:rPr>
            </w:pPr>
            <w:r w:rsidRPr="005C1566">
              <w:rPr>
                <w:rFonts w:cstheme="minorHAnsi"/>
                <w:color w:val="000000" w:themeColor="text1"/>
              </w:rPr>
              <w:t>To Be Announced (TBA) hours in online schedules</w:t>
            </w:r>
          </w:p>
        </w:tc>
        <w:tc>
          <w:tcPr>
            <w:tcW w:w="5801" w:type="dxa"/>
          </w:tcPr>
          <w:p w:rsidR="0056037D" w:rsidRDefault="0056037D" w:rsidP="0056037D">
            <w:pPr>
              <w:rPr>
                <w:sz w:val="20"/>
              </w:rPr>
            </w:pPr>
            <w:r w:rsidRPr="005C1566">
              <w:t xml:space="preserve">The issue with the appearance of TBA hours in the schedule. Specifically, in the XSCH report, and irregularly </w:t>
            </w:r>
            <w:proofErr w:type="spellStart"/>
            <w:r w:rsidRPr="005C1566">
              <w:t>Webadvisor</w:t>
            </w:r>
            <w:proofErr w:type="spellEnd"/>
            <w:r w:rsidRPr="005C1566">
              <w:t xml:space="preserve"> and </w:t>
            </w:r>
            <w:proofErr w:type="spellStart"/>
            <w:r w:rsidRPr="005C1566">
              <w:t>eSchedule</w:t>
            </w:r>
            <w:proofErr w:type="spellEnd"/>
            <w:r w:rsidRPr="005C1566">
              <w:t xml:space="preserve">, total TBA hours (get divided by the number of weeks the class is offered) and appear as weekly hours. This is misleading to students and is in violation of TBA requirements. We are expected to inform students of Total </w:t>
            </w:r>
            <w:r w:rsidRPr="005C1566">
              <w:lastRenderedPageBreak/>
              <w:t>TBA hours they should expect to complete in order to successfully meet the class requirements</w:t>
            </w:r>
            <w:r w:rsidRPr="005C1566">
              <w:rPr>
                <w:sz w:val="20"/>
              </w:rPr>
              <w:t>.</w:t>
            </w:r>
          </w:p>
          <w:p w:rsidR="00E33FC2" w:rsidRDefault="00E33FC2" w:rsidP="0056037D">
            <w:pPr>
              <w:rPr>
                <w:sz w:val="20"/>
              </w:rPr>
            </w:pPr>
          </w:p>
          <w:p w:rsidR="00E33FC2" w:rsidRPr="005C1566" w:rsidRDefault="00E33FC2" w:rsidP="0056037D">
            <w:pPr>
              <w:rPr>
                <w:sz w:val="20"/>
              </w:rPr>
            </w:pPr>
          </w:p>
        </w:tc>
        <w:tc>
          <w:tcPr>
            <w:tcW w:w="1570" w:type="dxa"/>
          </w:tcPr>
          <w:p w:rsidR="0056037D" w:rsidRPr="005C1566" w:rsidRDefault="0056037D" w:rsidP="0056037D">
            <w:pPr>
              <w:rPr>
                <w:rFonts w:cstheme="minorHAnsi"/>
              </w:rPr>
            </w:pPr>
            <w:r>
              <w:rPr>
                <w:rFonts w:cstheme="minorHAnsi"/>
              </w:rPr>
              <w:lastRenderedPageBreak/>
              <w:t>October, 2018</w:t>
            </w:r>
          </w:p>
        </w:tc>
        <w:tc>
          <w:tcPr>
            <w:tcW w:w="1248" w:type="dxa"/>
          </w:tcPr>
          <w:p w:rsidR="0056037D" w:rsidRPr="005C1566" w:rsidRDefault="0056037D" w:rsidP="0056037D">
            <w:pPr>
              <w:rPr>
                <w:rFonts w:cstheme="minorHAnsi"/>
              </w:rPr>
            </w:pPr>
            <w:r w:rsidRPr="005C1566">
              <w:rPr>
                <w:rFonts w:cstheme="minorHAnsi"/>
              </w:rPr>
              <w:t>120 hours</w:t>
            </w:r>
          </w:p>
        </w:tc>
        <w:tc>
          <w:tcPr>
            <w:tcW w:w="1062" w:type="dxa"/>
          </w:tcPr>
          <w:p w:rsidR="0056037D" w:rsidRPr="005C1566" w:rsidRDefault="0056037D" w:rsidP="0056037D">
            <w:pPr>
              <w:rPr>
                <w:rFonts w:cstheme="minorHAnsi"/>
              </w:rPr>
            </w:pPr>
            <w:r w:rsidRPr="005C1566">
              <w:rPr>
                <w:rFonts w:cstheme="minorHAnsi"/>
              </w:rPr>
              <w:t>Time and Materials</w:t>
            </w:r>
          </w:p>
        </w:tc>
        <w:tc>
          <w:tcPr>
            <w:tcW w:w="1929" w:type="dxa"/>
          </w:tcPr>
          <w:p w:rsidR="0056037D" w:rsidRPr="005C1566" w:rsidRDefault="0056037D" w:rsidP="0056037D">
            <w:pPr>
              <w:rPr>
                <w:rFonts w:cstheme="minorHAnsi"/>
              </w:rPr>
            </w:pPr>
            <w:r>
              <w:rPr>
                <w:rFonts w:cstheme="minorHAnsi"/>
              </w:rPr>
              <w:t>Keith Wurtz</w:t>
            </w:r>
            <w:r w:rsidRPr="005C1566">
              <w:rPr>
                <w:rFonts w:cstheme="minorHAnsi"/>
              </w:rPr>
              <w:t>/</w:t>
            </w:r>
            <w:r>
              <w:rPr>
                <w:rFonts w:cstheme="minorHAnsi"/>
              </w:rPr>
              <w:t>Dina Humble</w:t>
            </w:r>
          </w:p>
        </w:tc>
      </w:tr>
      <w:tr w:rsidR="0056037D" w:rsidRPr="009C1222" w:rsidTr="00782BCB">
        <w:tc>
          <w:tcPr>
            <w:tcW w:w="797" w:type="dxa"/>
          </w:tcPr>
          <w:p w:rsidR="0056037D" w:rsidRPr="005C1566" w:rsidRDefault="0056037D" w:rsidP="0056037D">
            <w:pPr>
              <w:jc w:val="center"/>
              <w:rPr>
                <w:rFonts w:cstheme="minorHAnsi"/>
                <w:b/>
              </w:rPr>
            </w:pPr>
            <w:r w:rsidRPr="005C1566">
              <w:rPr>
                <w:rFonts w:cstheme="minorHAnsi"/>
                <w:b/>
              </w:rPr>
              <w:t>7</w:t>
            </w:r>
          </w:p>
        </w:tc>
        <w:tc>
          <w:tcPr>
            <w:tcW w:w="2359" w:type="dxa"/>
          </w:tcPr>
          <w:p w:rsidR="0056037D" w:rsidRPr="00CE2703" w:rsidRDefault="0056037D" w:rsidP="0056037D">
            <w:pPr>
              <w:jc w:val="both"/>
              <w:rPr>
                <w:rFonts w:cstheme="minorHAnsi"/>
                <w:color w:val="000000" w:themeColor="text1"/>
              </w:rPr>
            </w:pPr>
            <w:proofErr w:type="spellStart"/>
            <w:r w:rsidRPr="00CE2703">
              <w:rPr>
                <w:rFonts w:cstheme="minorHAnsi"/>
                <w:color w:val="000000" w:themeColor="text1"/>
              </w:rPr>
              <w:t>BankMobile</w:t>
            </w:r>
            <w:proofErr w:type="spellEnd"/>
            <w:r w:rsidRPr="00CE2703">
              <w:rPr>
                <w:rFonts w:cstheme="minorHAnsi"/>
                <w:color w:val="000000" w:themeColor="text1"/>
              </w:rPr>
              <w:t xml:space="preserve"> migration</w:t>
            </w:r>
          </w:p>
        </w:tc>
        <w:tc>
          <w:tcPr>
            <w:tcW w:w="5801" w:type="dxa"/>
          </w:tcPr>
          <w:p w:rsidR="0056037D" w:rsidRPr="00CE2703" w:rsidRDefault="0056037D" w:rsidP="0056037D">
            <w:pPr>
              <w:rPr>
                <w:sz w:val="20"/>
              </w:rPr>
            </w:pPr>
            <w:r w:rsidRPr="00CE2703">
              <w:rPr>
                <w:sz w:val="20"/>
              </w:rPr>
              <w:t>The District’s financial aid disbursement vendor, Blackboard, has been acquired by Bank Mobile.  Bank Mobile will provide comprehensive student refund/disbursement services to the District including:</w:t>
            </w:r>
          </w:p>
          <w:p w:rsidR="0056037D" w:rsidRPr="00CE2703" w:rsidRDefault="0056037D" w:rsidP="0056037D">
            <w:pPr>
              <w:pStyle w:val="ListParagraph"/>
              <w:widowControl w:val="0"/>
              <w:numPr>
                <w:ilvl w:val="0"/>
                <w:numId w:val="2"/>
              </w:numPr>
              <w:contextualSpacing/>
              <w:rPr>
                <w:sz w:val="20"/>
              </w:rPr>
            </w:pPr>
            <w:r w:rsidRPr="00CE2703">
              <w:rPr>
                <w:sz w:val="20"/>
              </w:rPr>
              <w:t>Providing users access to a secure technology platform to select refund delivery preference</w:t>
            </w:r>
          </w:p>
          <w:p w:rsidR="0056037D" w:rsidRPr="00CE2703" w:rsidRDefault="0056037D" w:rsidP="0056037D">
            <w:pPr>
              <w:pStyle w:val="ListParagraph"/>
              <w:widowControl w:val="0"/>
              <w:numPr>
                <w:ilvl w:val="0"/>
                <w:numId w:val="2"/>
              </w:numPr>
              <w:contextualSpacing/>
              <w:rPr>
                <w:sz w:val="20"/>
              </w:rPr>
            </w:pPr>
            <w:r w:rsidRPr="00CE2703">
              <w:rPr>
                <w:sz w:val="20"/>
              </w:rPr>
              <w:t>handling exceptions such as refund reversals and stale check returns</w:t>
            </w:r>
          </w:p>
          <w:p w:rsidR="0056037D" w:rsidRPr="00CE2703" w:rsidRDefault="0056037D" w:rsidP="0056037D">
            <w:pPr>
              <w:pStyle w:val="ListParagraph"/>
              <w:widowControl w:val="0"/>
              <w:numPr>
                <w:ilvl w:val="0"/>
                <w:numId w:val="2"/>
              </w:numPr>
              <w:contextualSpacing/>
              <w:rPr>
                <w:sz w:val="20"/>
              </w:rPr>
            </w:pPr>
            <w:r w:rsidRPr="00CE2703">
              <w:rPr>
                <w:sz w:val="20"/>
              </w:rPr>
              <w:t>offering telephone and web-based customer services to all users</w:t>
            </w:r>
          </w:p>
          <w:p w:rsidR="0056037D" w:rsidRPr="00CE2703" w:rsidRDefault="0056037D" w:rsidP="0056037D">
            <w:pPr>
              <w:pStyle w:val="ListParagraph"/>
              <w:widowControl w:val="0"/>
              <w:numPr>
                <w:ilvl w:val="0"/>
                <w:numId w:val="2"/>
              </w:numPr>
              <w:contextualSpacing/>
              <w:rPr>
                <w:sz w:val="20"/>
              </w:rPr>
            </w:pPr>
            <w:r w:rsidRPr="00CE2703">
              <w:rPr>
                <w:sz w:val="20"/>
              </w:rPr>
              <w:t>distributing email and mobile notifications to users</w:t>
            </w:r>
          </w:p>
          <w:p w:rsidR="0056037D" w:rsidRPr="00CE2703" w:rsidRDefault="0056037D" w:rsidP="0056037D">
            <w:pPr>
              <w:pStyle w:val="ListParagraph"/>
              <w:widowControl w:val="0"/>
              <w:numPr>
                <w:ilvl w:val="0"/>
                <w:numId w:val="2"/>
              </w:numPr>
              <w:contextualSpacing/>
              <w:rPr>
                <w:sz w:val="20"/>
              </w:rPr>
            </w:pPr>
            <w:r w:rsidRPr="00CE2703">
              <w:rPr>
                <w:sz w:val="20"/>
              </w:rPr>
              <w:t>providing administrative support and reporting to the Institution</w:t>
            </w:r>
          </w:p>
          <w:p w:rsidR="0056037D" w:rsidRPr="00CE2703" w:rsidRDefault="0056037D" w:rsidP="0056037D">
            <w:pPr>
              <w:pStyle w:val="ListParagraph"/>
              <w:widowControl w:val="0"/>
              <w:numPr>
                <w:ilvl w:val="0"/>
                <w:numId w:val="2"/>
              </w:numPr>
              <w:contextualSpacing/>
              <w:rPr>
                <w:sz w:val="20"/>
              </w:rPr>
            </w:pPr>
            <w:r w:rsidRPr="00CE2703">
              <w:rPr>
                <w:sz w:val="20"/>
              </w:rPr>
              <w:t>providing an optional financial account to users</w:t>
            </w:r>
          </w:p>
          <w:p w:rsidR="0056037D" w:rsidRPr="00CE2703" w:rsidRDefault="0056037D" w:rsidP="0056037D">
            <w:pPr>
              <w:pStyle w:val="ListParagraph"/>
              <w:widowControl w:val="0"/>
              <w:numPr>
                <w:ilvl w:val="0"/>
                <w:numId w:val="2"/>
              </w:numPr>
              <w:contextualSpacing/>
              <w:rPr>
                <w:sz w:val="20"/>
              </w:rPr>
            </w:pPr>
            <w:r w:rsidRPr="00CE2703">
              <w:rPr>
                <w:sz w:val="20"/>
              </w:rPr>
              <w:t>providing the institution the ability to create a customized debit card which serves an institutional purpose and sending such debit card to all users</w:t>
            </w:r>
          </w:p>
          <w:p w:rsidR="0056037D" w:rsidRPr="00CE2703" w:rsidRDefault="0056037D" w:rsidP="0056037D">
            <w:pPr>
              <w:rPr>
                <w:sz w:val="20"/>
              </w:rPr>
            </w:pPr>
          </w:p>
          <w:p w:rsidR="0056037D" w:rsidRDefault="0056037D" w:rsidP="0056037D">
            <w:pPr>
              <w:rPr>
                <w:sz w:val="20"/>
              </w:rPr>
            </w:pPr>
            <w:r w:rsidRPr="00CE2703">
              <w:rPr>
                <w:sz w:val="20"/>
              </w:rPr>
              <w:t>Our current “problem” is ensuring our Colleague system is configured to handle the new business processes resulting from the Bank Mobile acquisition of Blackboard</w:t>
            </w:r>
          </w:p>
          <w:p w:rsidR="0056037D" w:rsidRPr="00CE2703" w:rsidRDefault="0056037D" w:rsidP="0056037D"/>
        </w:tc>
        <w:tc>
          <w:tcPr>
            <w:tcW w:w="1570" w:type="dxa"/>
          </w:tcPr>
          <w:p w:rsidR="0056037D" w:rsidRPr="00CE2703" w:rsidRDefault="0056037D" w:rsidP="0056037D">
            <w:pPr>
              <w:rPr>
                <w:rFonts w:cstheme="minorHAnsi"/>
              </w:rPr>
            </w:pPr>
            <w:r>
              <w:rPr>
                <w:rFonts w:cstheme="minorHAnsi"/>
              </w:rPr>
              <w:t>December, 2018</w:t>
            </w:r>
          </w:p>
        </w:tc>
        <w:tc>
          <w:tcPr>
            <w:tcW w:w="1248" w:type="dxa"/>
          </w:tcPr>
          <w:p w:rsidR="0056037D" w:rsidRPr="00CE2703" w:rsidRDefault="0056037D" w:rsidP="0056037D">
            <w:pPr>
              <w:rPr>
                <w:rFonts w:cstheme="minorHAnsi"/>
              </w:rPr>
            </w:pPr>
            <w:r w:rsidRPr="00CE2703">
              <w:rPr>
                <w:rFonts w:cstheme="minorHAnsi"/>
              </w:rPr>
              <w:t>4 months</w:t>
            </w:r>
          </w:p>
        </w:tc>
        <w:tc>
          <w:tcPr>
            <w:tcW w:w="1062" w:type="dxa"/>
          </w:tcPr>
          <w:p w:rsidR="0056037D" w:rsidRPr="00CE2703" w:rsidRDefault="0056037D" w:rsidP="0056037D">
            <w:pPr>
              <w:rPr>
                <w:rFonts w:cstheme="minorHAnsi"/>
              </w:rPr>
            </w:pPr>
            <w:r w:rsidRPr="00CE2703">
              <w:rPr>
                <w:rFonts w:cstheme="minorHAnsi"/>
              </w:rPr>
              <w:t>Time and Materials or $10,000</w:t>
            </w:r>
          </w:p>
        </w:tc>
        <w:tc>
          <w:tcPr>
            <w:tcW w:w="1929" w:type="dxa"/>
          </w:tcPr>
          <w:p w:rsidR="0056037D" w:rsidRPr="00CE2703" w:rsidRDefault="0056037D" w:rsidP="0056037D">
            <w:pPr>
              <w:rPr>
                <w:rFonts w:cstheme="minorHAnsi"/>
              </w:rPr>
            </w:pPr>
            <w:r w:rsidRPr="00CE2703">
              <w:rPr>
                <w:rFonts w:cstheme="minorHAnsi"/>
              </w:rPr>
              <w:t>Tenille Alexander/Larry Strong</w:t>
            </w:r>
          </w:p>
        </w:tc>
      </w:tr>
      <w:tr w:rsidR="0056037D" w:rsidRPr="009C1222" w:rsidTr="00782BCB">
        <w:tc>
          <w:tcPr>
            <w:tcW w:w="797" w:type="dxa"/>
          </w:tcPr>
          <w:p w:rsidR="0056037D" w:rsidRPr="0056037D" w:rsidRDefault="0056037D" w:rsidP="0056037D">
            <w:pPr>
              <w:jc w:val="center"/>
              <w:rPr>
                <w:rFonts w:cstheme="minorHAnsi"/>
                <w:b/>
                <w:sz w:val="20"/>
                <w:szCs w:val="20"/>
                <w:highlight w:val="yellow"/>
              </w:rPr>
            </w:pPr>
            <w:r w:rsidRPr="0056037D">
              <w:rPr>
                <w:rFonts w:cstheme="minorHAnsi"/>
                <w:b/>
                <w:sz w:val="20"/>
                <w:szCs w:val="20"/>
              </w:rPr>
              <w:t>8</w:t>
            </w:r>
          </w:p>
        </w:tc>
        <w:tc>
          <w:tcPr>
            <w:tcW w:w="2359" w:type="dxa"/>
          </w:tcPr>
          <w:p w:rsidR="0056037D" w:rsidRPr="0056037D" w:rsidRDefault="0056037D" w:rsidP="0056037D">
            <w:pPr>
              <w:jc w:val="both"/>
              <w:rPr>
                <w:rFonts w:cstheme="minorHAnsi"/>
                <w:color w:val="000000" w:themeColor="text1"/>
                <w:sz w:val="20"/>
                <w:szCs w:val="20"/>
              </w:rPr>
            </w:pPr>
            <w:r w:rsidRPr="0056037D">
              <w:rPr>
                <w:rFonts w:cstheme="minorHAnsi"/>
                <w:color w:val="000000" w:themeColor="text1"/>
                <w:sz w:val="20"/>
                <w:szCs w:val="20"/>
              </w:rPr>
              <w:t>Assessment Multiple Measures (Math, English)</w:t>
            </w:r>
          </w:p>
        </w:tc>
        <w:tc>
          <w:tcPr>
            <w:tcW w:w="5801" w:type="dxa"/>
          </w:tcPr>
          <w:p w:rsidR="0056037D" w:rsidRDefault="0056037D" w:rsidP="0056037D">
            <w:pPr>
              <w:rPr>
                <w:sz w:val="20"/>
                <w:szCs w:val="20"/>
              </w:rPr>
            </w:pPr>
            <w:r w:rsidRPr="0056037D">
              <w:rPr>
                <w:sz w:val="20"/>
                <w:szCs w:val="20"/>
              </w:rPr>
              <w:t>AB 705, which takes effect on January 1, 2018, requires that colleges use evidence-based multiple measures for placing students and that when high school transcript data is difficult to obtain the community college uses self-reported high school information.  Accordingly, some of the programming in Colleague will need to change in order to account for the changes in curriculum and the placement rules mandated by law.</w:t>
            </w:r>
          </w:p>
          <w:p w:rsidR="0056037D" w:rsidRPr="0056037D" w:rsidRDefault="0056037D" w:rsidP="0056037D">
            <w:pPr>
              <w:rPr>
                <w:sz w:val="20"/>
                <w:szCs w:val="20"/>
              </w:rPr>
            </w:pPr>
          </w:p>
        </w:tc>
        <w:tc>
          <w:tcPr>
            <w:tcW w:w="1570" w:type="dxa"/>
          </w:tcPr>
          <w:p w:rsidR="0056037D" w:rsidRPr="0056037D" w:rsidRDefault="0056037D" w:rsidP="0056037D">
            <w:pPr>
              <w:rPr>
                <w:rFonts w:cstheme="minorHAnsi"/>
                <w:sz w:val="20"/>
                <w:szCs w:val="20"/>
              </w:rPr>
            </w:pPr>
            <w:r w:rsidRPr="0056037D">
              <w:rPr>
                <w:rFonts w:cstheme="minorHAnsi"/>
                <w:sz w:val="20"/>
                <w:szCs w:val="20"/>
              </w:rPr>
              <w:t>TBD</w:t>
            </w:r>
          </w:p>
        </w:tc>
        <w:tc>
          <w:tcPr>
            <w:tcW w:w="1248" w:type="dxa"/>
          </w:tcPr>
          <w:p w:rsidR="0056037D" w:rsidRPr="0056037D" w:rsidRDefault="0056037D" w:rsidP="0056037D">
            <w:pPr>
              <w:rPr>
                <w:rFonts w:cstheme="minorHAnsi"/>
                <w:sz w:val="20"/>
                <w:szCs w:val="20"/>
              </w:rPr>
            </w:pPr>
            <w:r w:rsidRPr="0056037D">
              <w:rPr>
                <w:rFonts w:cstheme="minorHAnsi"/>
                <w:sz w:val="20"/>
                <w:szCs w:val="20"/>
              </w:rPr>
              <w:t>80 hours</w:t>
            </w:r>
          </w:p>
        </w:tc>
        <w:tc>
          <w:tcPr>
            <w:tcW w:w="1062" w:type="dxa"/>
          </w:tcPr>
          <w:p w:rsidR="0056037D" w:rsidRPr="0056037D" w:rsidRDefault="0056037D" w:rsidP="0056037D">
            <w:pPr>
              <w:rPr>
                <w:rFonts w:cstheme="minorHAnsi"/>
                <w:sz w:val="20"/>
                <w:szCs w:val="20"/>
              </w:rPr>
            </w:pPr>
            <w:r w:rsidRPr="0056037D">
              <w:rPr>
                <w:rFonts w:cstheme="minorHAnsi"/>
                <w:sz w:val="20"/>
                <w:szCs w:val="20"/>
              </w:rPr>
              <w:t>$4000</w:t>
            </w:r>
          </w:p>
        </w:tc>
        <w:tc>
          <w:tcPr>
            <w:tcW w:w="1929" w:type="dxa"/>
          </w:tcPr>
          <w:p w:rsidR="0056037D" w:rsidRPr="0056037D" w:rsidRDefault="0056037D" w:rsidP="0056037D">
            <w:pPr>
              <w:rPr>
                <w:rFonts w:cstheme="minorHAnsi"/>
                <w:sz w:val="20"/>
                <w:szCs w:val="20"/>
              </w:rPr>
            </w:pPr>
            <w:r w:rsidRPr="0056037D">
              <w:rPr>
                <w:rFonts w:cstheme="minorHAnsi"/>
                <w:sz w:val="20"/>
                <w:szCs w:val="20"/>
              </w:rPr>
              <w:t>Keith Wurtz/Dina Humble</w:t>
            </w:r>
          </w:p>
        </w:tc>
      </w:tr>
      <w:tr w:rsidR="00291981" w:rsidRPr="009C1222" w:rsidTr="00782BCB">
        <w:tc>
          <w:tcPr>
            <w:tcW w:w="797" w:type="dxa"/>
          </w:tcPr>
          <w:p w:rsidR="00291981" w:rsidRPr="0056037D" w:rsidRDefault="00291981" w:rsidP="00291981">
            <w:pPr>
              <w:jc w:val="center"/>
              <w:rPr>
                <w:rFonts w:cstheme="minorHAnsi"/>
                <w:b/>
                <w:sz w:val="20"/>
                <w:szCs w:val="20"/>
              </w:rPr>
            </w:pPr>
            <w:r>
              <w:rPr>
                <w:rFonts w:cstheme="minorHAnsi"/>
                <w:b/>
                <w:sz w:val="20"/>
                <w:szCs w:val="20"/>
              </w:rPr>
              <w:t>9</w:t>
            </w:r>
          </w:p>
        </w:tc>
        <w:tc>
          <w:tcPr>
            <w:tcW w:w="2359" w:type="dxa"/>
          </w:tcPr>
          <w:p w:rsidR="00291981" w:rsidRPr="00291981" w:rsidRDefault="00291981" w:rsidP="00291981">
            <w:pPr>
              <w:jc w:val="both"/>
              <w:rPr>
                <w:rFonts w:cstheme="minorHAnsi"/>
                <w:color w:val="000000" w:themeColor="text1"/>
              </w:rPr>
            </w:pPr>
            <w:r w:rsidRPr="00291981">
              <w:rPr>
                <w:rFonts w:cstheme="minorHAnsi"/>
                <w:color w:val="000000" w:themeColor="text1"/>
              </w:rPr>
              <w:t>CCCID</w:t>
            </w:r>
          </w:p>
        </w:tc>
        <w:tc>
          <w:tcPr>
            <w:tcW w:w="5801" w:type="dxa"/>
          </w:tcPr>
          <w:p w:rsidR="00291981" w:rsidRPr="00291981" w:rsidRDefault="00291981" w:rsidP="00291981">
            <w:pPr>
              <w:rPr>
                <w:sz w:val="20"/>
              </w:rPr>
            </w:pPr>
            <w:r w:rsidRPr="00291981">
              <w:rPr>
                <w:sz w:val="20"/>
              </w:rPr>
              <w:t xml:space="preserve">As part of the </w:t>
            </w:r>
            <w:proofErr w:type="spellStart"/>
            <w:r w:rsidRPr="00291981">
              <w:rPr>
                <w:sz w:val="20"/>
              </w:rPr>
              <w:t>CCCApply</w:t>
            </w:r>
            <w:proofErr w:type="spellEnd"/>
            <w:r w:rsidRPr="00291981">
              <w:rPr>
                <w:sz w:val="20"/>
              </w:rPr>
              <w:t xml:space="preserve"> application process, a student gets a CCCID that is meant to be unique for the state.  However, this isn’t always guaranteed.  Sometimes a student will create a different account and get a different ID when submitting other applications.  Other times they will share an account with other students and get the same ID.</w:t>
            </w:r>
          </w:p>
          <w:p w:rsidR="00291981" w:rsidRPr="00291981" w:rsidRDefault="00291981" w:rsidP="00291981">
            <w:pPr>
              <w:rPr>
                <w:sz w:val="20"/>
              </w:rPr>
            </w:pPr>
          </w:p>
          <w:p w:rsidR="00291981" w:rsidRPr="00291981" w:rsidRDefault="00291981" w:rsidP="00291981">
            <w:pPr>
              <w:rPr>
                <w:sz w:val="20"/>
              </w:rPr>
            </w:pPr>
            <w:r w:rsidRPr="00291981">
              <w:rPr>
                <w:sz w:val="20"/>
              </w:rPr>
              <w:t>Recently the state has required that student’s CCCID be provided as part of the Single Sign-On (SSO) with state service providers (i.e. Canvas, Starfish) when using the SSO proxy and currently requests that it be provided as part of MIS.  As a result, a problem has been identified in the current application import process: when an application is processed that has a different CCCID from that which is currently on a student record, the import will store all CCCIDs.  As a result, we don’t know which to use for SSO and MIS.</w:t>
            </w:r>
          </w:p>
          <w:p w:rsidR="00291981" w:rsidRPr="00291981" w:rsidRDefault="00291981" w:rsidP="00291981">
            <w:pPr>
              <w:rPr>
                <w:sz w:val="20"/>
              </w:rPr>
            </w:pPr>
          </w:p>
          <w:p w:rsidR="00291981" w:rsidRDefault="00291981" w:rsidP="00291981">
            <w:pPr>
              <w:rPr>
                <w:sz w:val="20"/>
              </w:rPr>
            </w:pPr>
            <w:proofErr w:type="spellStart"/>
            <w:r w:rsidRPr="00291981">
              <w:rPr>
                <w:sz w:val="20"/>
              </w:rPr>
              <w:t>CCCApply</w:t>
            </w:r>
            <w:proofErr w:type="spellEnd"/>
            <w:r w:rsidRPr="00291981">
              <w:rPr>
                <w:sz w:val="20"/>
              </w:rPr>
              <w:t xml:space="preserve"> has stated that they can’t guarantee unique CCCIDs.  As a result, when used with SSO and for MIS, we have been directed to send only the CCCID from the latest application for a student.</w:t>
            </w:r>
          </w:p>
          <w:p w:rsidR="00E33FC2" w:rsidRPr="00291981" w:rsidRDefault="00E33FC2" w:rsidP="00291981">
            <w:pPr>
              <w:rPr>
                <w:rFonts w:cstheme="minorHAnsi"/>
              </w:rPr>
            </w:pPr>
          </w:p>
        </w:tc>
        <w:tc>
          <w:tcPr>
            <w:tcW w:w="1570" w:type="dxa"/>
          </w:tcPr>
          <w:p w:rsidR="00291981" w:rsidRPr="00291981" w:rsidRDefault="00291981" w:rsidP="00291981">
            <w:pPr>
              <w:rPr>
                <w:rFonts w:cstheme="minorHAnsi"/>
              </w:rPr>
            </w:pPr>
            <w:r w:rsidRPr="00291981">
              <w:rPr>
                <w:rFonts w:cstheme="minorHAnsi"/>
              </w:rPr>
              <w:lastRenderedPageBreak/>
              <w:t>TBD</w:t>
            </w:r>
          </w:p>
        </w:tc>
        <w:tc>
          <w:tcPr>
            <w:tcW w:w="1248" w:type="dxa"/>
          </w:tcPr>
          <w:p w:rsidR="00291981" w:rsidRPr="00291981" w:rsidRDefault="00291981" w:rsidP="00291981">
            <w:pPr>
              <w:rPr>
                <w:rFonts w:cstheme="minorHAnsi"/>
              </w:rPr>
            </w:pPr>
          </w:p>
        </w:tc>
        <w:tc>
          <w:tcPr>
            <w:tcW w:w="1062" w:type="dxa"/>
          </w:tcPr>
          <w:p w:rsidR="00291981" w:rsidRPr="00291981" w:rsidRDefault="00291981" w:rsidP="00291981">
            <w:pPr>
              <w:rPr>
                <w:rFonts w:cstheme="minorHAnsi"/>
              </w:rPr>
            </w:pPr>
            <w:r w:rsidRPr="00291981">
              <w:rPr>
                <w:rFonts w:cstheme="minorHAnsi"/>
              </w:rPr>
              <w:t>Time and Materials</w:t>
            </w:r>
          </w:p>
        </w:tc>
        <w:tc>
          <w:tcPr>
            <w:tcW w:w="1929" w:type="dxa"/>
          </w:tcPr>
          <w:p w:rsidR="00291981" w:rsidRPr="00291981" w:rsidRDefault="00291981" w:rsidP="00291981">
            <w:r w:rsidRPr="00291981">
              <w:t>Jason Brady/Andy Chang</w:t>
            </w:r>
          </w:p>
        </w:tc>
      </w:tr>
    </w:tbl>
    <w:p w:rsidR="00BE6A32" w:rsidRDefault="00BE6A32">
      <w:pPr>
        <w:rPr>
          <w:rFonts w:cstheme="minorHAnsi"/>
        </w:rPr>
      </w:pPr>
    </w:p>
    <w:p w:rsidR="00782BCB" w:rsidRDefault="00782BCB">
      <w:pPr>
        <w:rPr>
          <w:rFonts w:cstheme="minorHAnsi"/>
          <w:b/>
          <w:sz w:val="28"/>
          <w:u w:val="single"/>
        </w:rPr>
      </w:pPr>
    </w:p>
    <w:p w:rsidR="00B11666" w:rsidRDefault="00B11666">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5914F5" w:rsidRDefault="005914F5">
      <w:pPr>
        <w:rPr>
          <w:rFonts w:cstheme="minorHAnsi"/>
          <w:b/>
          <w:sz w:val="28"/>
          <w:u w:val="single"/>
        </w:rPr>
      </w:pPr>
    </w:p>
    <w:p w:rsidR="009614F5" w:rsidRDefault="001609E2">
      <w:pPr>
        <w:rPr>
          <w:rFonts w:cstheme="minorHAnsi"/>
          <w:b/>
          <w:sz w:val="28"/>
          <w:u w:val="single"/>
        </w:rPr>
      </w:pPr>
      <w:r>
        <w:rPr>
          <w:rFonts w:cstheme="minorHAnsi"/>
          <w:b/>
          <w:sz w:val="28"/>
          <w:u w:val="single"/>
        </w:rPr>
        <w:t xml:space="preserve">                                                                                                                 </w:t>
      </w:r>
    </w:p>
    <w:tbl>
      <w:tblPr>
        <w:tblStyle w:val="TableGrid"/>
        <w:tblW w:w="13438" w:type="dxa"/>
        <w:tblInd w:w="-792" w:type="dxa"/>
        <w:tblLook w:val="04A0" w:firstRow="1" w:lastRow="0" w:firstColumn="1" w:lastColumn="0" w:noHBand="0" w:noVBand="1"/>
      </w:tblPr>
      <w:tblGrid>
        <w:gridCol w:w="797"/>
        <w:gridCol w:w="1510"/>
        <w:gridCol w:w="5235"/>
        <w:gridCol w:w="1570"/>
        <w:gridCol w:w="1248"/>
        <w:gridCol w:w="1136"/>
        <w:gridCol w:w="1942"/>
      </w:tblGrid>
      <w:tr w:rsidR="003F0B9D" w:rsidRPr="009C1222" w:rsidTr="007A33D1">
        <w:tc>
          <w:tcPr>
            <w:tcW w:w="797" w:type="dxa"/>
          </w:tcPr>
          <w:p w:rsidR="003F0B9D" w:rsidRPr="00F85CA9" w:rsidRDefault="003F0B9D" w:rsidP="00B70ACC">
            <w:pPr>
              <w:jc w:val="center"/>
              <w:rPr>
                <w:rFonts w:cstheme="minorHAnsi"/>
                <w:b/>
                <w:sz w:val="28"/>
                <w:szCs w:val="28"/>
              </w:rPr>
            </w:pPr>
            <w:r w:rsidRPr="00F85CA9">
              <w:rPr>
                <w:rFonts w:cstheme="minorHAnsi"/>
                <w:b/>
                <w:sz w:val="28"/>
                <w:szCs w:val="28"/>
              </w:rPr>
              <w:lastRenderedPageBreak/>
              <w:t>Rank</w:t>
            </w:r>
          </w:p>
        </w:tc>
        <w:tc>
          <w:tcPr>
            <w:tcW w:w="1510" w:type="dxa"/>
          </w:tcPr>
          <w:p w:rsidR="003F0B9D" w:rsidRPr="00F85CA9" w:rsidRDefault="003F0B9D" w:rsidP="00B70ACC">
            <w:pPr>
              <w:rPr>
                <w:rFonts w:cstheme="minorHAnsi"/>
                <w:b/>
                <w:sz w:val="28"/>
                <w:szCs w:val="28"/>
              </w:rPr>
            </w:pPr>
            <w:r w:rsidRPr="00F85CA9">
              <w:rPr>
                <w:rFonts w:cstheme="minorHAnsi"/>
                <w:b/>
                <w:sz w:val="28"/>
                <w:szCs w:val="28"/>
              </w:rPr>
              <w:t>Project Title</w:t>
            </w:r>
          </w:p>
        </w:tc>
        <w:tc>
          <w:tcPr>
            <w:tcW w:w="5235" w:type="dxa"/>
          </w:tcPr>
          <w:p w:rsidR="003F0B9D" w:rsidRPr="00F85CA9" w:rsidRDefault="003F0B9D" w:rsidP="00B70ACC">
            <w:pPr>
              <w:rPr>
                <w:rFonts w:cstheme="minorHAnsi"/>
                <w:b/>
                <w:sz w:val="28"/>
                <w:szCs w:val="28"/>
              </w:rPr>
            </w:pPr>
            <w:r w:rsidRPr="00F85CA9">
              <w:rPr>
                <w:rFonts w:cstheme="minorHAnsi"/>
                <w:b/>
                <w:sz w:val="28"/>
                <w:szCs w:val="28"/>
              </w:rPr>
              <w:t>Description</w:t>
            </w:r>
            <w:r w:rsidR="00F85CA9" w:rsidRPr="00F85CA9">
              <w:rPr>
                <w:rFonts w:cstheme="minorHAnsi"/>
                <w:b/>
                <w:sz w:val="28"/>
                <w:szCs w:val="28"/>
              </w:rPr>
              <w:t xml:space="preserve"> of </w:t>
            </w:r>
            <w:r w:rsidR="00F85CA9" w:rsidRPr="00F85CA9">
              <w:rPr>
                <w:rFonts w:cstheme="minorHAnsi"/>
                <w:b/>
                <w:sz w:val="28"/>
                <w:szCs w:val="28"/>
                <w:u w:val="single"/>
              </w:rPr>
              <w:t>Vendor</w:t>
            </w:r>
            <w:r w:rsidR="00F85CA9" w:rsidRPr="00F85CA9">
              <w:rPr>
                <w:rFonts w:cstheme="minorHAnsi"/>
                <w:b/>
                <w:sz w:val="28"/>
                <w:szCs w:val="28"/>
              </w:rPr>
              <w:t xml:space="preserve"> Projects</w:t>
            </w:r>
          </w:p>
        </w:tc>
        <w:tc>
          <w:tcPr>
            <w:tcW w:w="1570" w:type="dxa"/>
          </w:tcPr>
          <w:p w:rsidR="003F0B9D" w:rsidRPr="00F85CA9" w:rsidRDefault="005A6799" w:rsidP="00B70ACC">
            <w:pPr>
              <w:jc w:val="center"/>
              <w:rPr>
                <w:rFonts w:cstheme="minorHAnsi"/>
                <w:b/>
                <w:sz w:val="28"/>
                <w:szCs w:val="28"/>
              </w:rPr>
            </w:pPr>
            <w:r>
              <w:rPr>
                <w:rFonts w:cstheme="minorHAnsi"/>
                <w:b/>
                <w:sz w:val="28"/>
                <w:szCs w:val="28"/>
              </w:rPr>
              <w:t>Est. Completion</w:t>
            </w:r>
          </w:p>
        </w:tc>
        <w:tc>
          <w:tcPr>
            <w:tcW w:w="1248" w:type="dxa"/>
          </w:tcPr>
          <w:p w:rsidR="003F0B9D" w:rsidRPr="00F85CA9" w:rsidRDefault="003F0B9D" w:rsidP="00B70ACC">
            <w:pPr>
              <w:jc w:val="center"/>
              <w:rPr>
                <w:rFonts w:cstheme="minorHAnsi"/>
                <w:b/>
                <w:sz w:val="28"/>
                <w:szCs w:val="28"/>
              </w:rPr>
            </w:pPr>
            <w:r w:rsidRPr="00F85CA9">
              <w:rPr>
                <w:rFonts w:cstheme="minorHAnsi"/>
                <w:b/>
                <w:sz w:val="28"/>
                <w:szCs w:val="28"/>
              </w:rPr>
              <w:t>Duration</w:t>
            </w:r>
          </w:p>
        </w:tc>
        <w:tc>
          <w:tcPr>
            <w:tcW w:w="1136" w:type="dxa"/>
          </w:tcPr>
          <w:p w:rsidR="003F0B9D" w:rsidRPr="00F85CA9" w:rsidRDefault="003F0B9D" w:rsidP="00B70ACC">
            <w:pPr>
              <w:jc w:val="center"/>
              <w:rPr>
                <w:rFonts w:cstheme="minorHAnsi"/>
                <w:b/>
                <w:sz w:val="28"/>
                <w:szCs w:val="28"/>
              </w:rPr>
            </w:pPr>
            <w:r w:rsidRPr="00F85CA9">
              <w:rPr>
                <w:rFonts w:cstheme="minorHAnsi"/>
                <w:b/>
                <w:sz w:val="28"/>
                <w:szCs w:val="28"/>
              </w:rPr>
              <w:t>Cost</w:t>
            </w:r>
          </w:p>
        </w:tc>
        <w:tc>
          <w:tcPr>
            <w:tcW w:w="1942" w:type="dxa"/>
          </w:tcPr>
          <w:p w:rsidR="003F0B9D" w:rsidRPr="00F85CA9" w:rsidRDefault="003F0B9D" w:rsidP="00B70ACC">
            <w:pPr>
              <w:jc w:val="center"/>
              <w:rPr>
                <w:rFonts w:cstheme="minorHAnsi"/>
                <w:b/>
                <w:sz w:val="28"/>
                <w:szCs w:val="28"/>
              </w:rPr>
            </w:pPr>
            <w:r w:rsidRPr="00F85CA9">
              <w:rPr>
                <w:rFonts w:cstheme="minorHAnsi"/>
                <w:b/>
                <w:sz w:val="28"/>
                <w:szCs w:val="28"/>
              </w:rPr>
              <w:t>Sponsor</w:t>
            </w:r>
          </w:p>
        </w:tc>
      </w:tr>
      <w:tr w:rsidR="003F0B9D" w:rsidRPr="009C1222" w:rsidTr="007A33D1">
        <w:tc>
          <w:tcPr>
            <w:tcW w:w="797" w:type="dxa"/>
          </w:tcPr>
          <w:p w:rsidR="003F0B9D" w:rsidRPr="005C1566" w:rsidRDefault="00F52585" w:rsidP="00BE6A32">
            <w:pPr>
              <w:jc w:val="center"/>
              <w:rPr>
                <w:rFonts w:cstheme="minorHAnsi"/>
                <w:b/>
              </w:rPr>
            </w:pPr>
            <w:r w:rsidRPr="005C1566">
              <w:rPr>
                <w:rFonts w:cstheme="minorHAnsi"/>
                <w:b/>
              </w:rPr>
              <w:t>1</w:t>
            </w:r>
          </w:p>
        </w:tc>
        <w:tc>
          <w:tcPr>
            <w:tcW w:w="1510" w:type="dxa"/>
          </w:tcPr>
          <w:p w:rsidR="003F0B9D" w:rsidRPr="005C1566" w:rsidRDefault="003F0B9D" w:rsidP="00BE6A32">
            <w:pPr>
              <w:rPr>
                <w:rFonts w:cstheme="minorHAnsi"/>
                <w:color w:val="000000" w:themeColor="text1"/>
              </w:rPr>
            </w:pPr>
            <w:r w:rsidRPr="005C1566">
              <w:rPr>
                <w:rFonts w:cstheme="minorHAnsi"/>
                <w:color w:val="000000" w:themeColor="text1"/>
              </w:rPr>
              <w:t>EPTDAS</w:t>
            </w:r>
          </w:p>
          <w:p w:rsidR="003F0B9D" w:rsidRPr="005C1566" w:rsidRDefault="003F0B9D" w:rsidP="00BE6A32">
            <w:pPr>
              <w:rPr>
                <w:rFonts w:cstheme="minorHAnsi"/>
              </w:rPr>
            </w:pPr>
          </w:p>
        </w:tc>
        <w:tc>
          <w:tcPr>
            <w:tcW w:w="5235" w:type="dxa"/>
          </w:tcPr>
          <w:p w:rsidR="003F0B9D" w:rsidRPr="005C1566" w:rsidRDefault="003F0B9D" w:rsidP="00BE6A32">
            <w:pPr>
              <w:rPr>
                <w:rFonts w:cstheme="minorHAnsi"/>
              </w:rPr>
            </w:pPr>
            <w:r w:rsidRPr="005C1566">
              <w:rPr>
                <w:rFonts w:cstheme="minorHAnsi"/>
              </w:rPr>
              <w:t xml:space="preserve">This project request comes from CHC as they signed on to be a pilot college for the CCCCO’s Education Planning and Degree audit initiative.  This initiative creates a centralized platform that all 112 CCC’s can eventually make use of that encompasses Degree Audit, Ed Planning, Early Alert and Connect.  </w:t>
            </w:r>
          </w:p>
          <w:p w:rsidR="003F0B9D" w:rsidRPr="005C1566" w:rsidRDefault="003F0B9D" w:rsidP="00BE6A32">
            <w:pPr>
              <w:rPr>
                <w:rFonts w:cstheme="minorHAnsi"/>
              </w:rPr>
            </w:pPr>
          </w:p>
          <w:p w:rsidR="003F0B9D" w:rsidRPr="005C1566" w:rsidRDefault="003F0B9D" w:rsidP="00364BCD">
            <w:pPr>
              <w:rPr>
                <w:rFonts w:cstheme="minorHAnsi"/>
              </w:rPr>
            </w:pPr>
          </w:p>
        </w:tc>
        <w:tc>
          <w:tcPr>
            <w:tcW w:w="1570" w:type="dxa"/>
          </w:tcPr>
          <w:p w:rsidR="003F0B9D" w:rsidRPr="005C1566" w:rsidRDefault="00CA3A9D" w:rsidP="00BE6A32">
            <w:pPr>
              <w:rPr>
                <w:rFonts w:cstheme="minorHAnsi"/>
              </w:rPr>
            </w:pPr>
            <w:r>
              <w:rPr>
                <w:rFonts w:cstheme="minorHAnsi"/>
              </w:rPr>
              <w:t>June 2019</w:t>
            </w:r>
          </w:p>
        </w:tc>
        <w:tc>
          <w:tcPr>
            <w:tcW w:w="1248" w:type="dxa"/>
          </w:tcPr>
          <w:p w:rsidR="003F0B9D" w:rsidRPr="005C1566" w:rsidRDefault="003F0B9D" w:rsidP="00BE6A32">
            <w:pPr>
              <w:rPr>
                <w:rFonts w:cstheme="minorHAnsi"/>
              </w:rPr>
            </w:pPr>
            <w:r w:rsidRPr="005C1566">
              <w:rPr>
                <w:rFonts w:cstheme="minorHAnsi"/>
              </w:rPr>
              <w:t>12-13 months (vendor and local staff time)</w:t>
            </w:r>
          </w:p>
        </w:tc>
        <w:tc>
          <w:tcPr>
            <w:tcW w:w="1136" w:type="dxa"/>
          </w:tcPr>
          <w:p w:rsidR="003F0B9D" w:rsidRPr="005C1566" w:rsidRDefault="003F0B9D" w:rsidP="00BE6A32">
            <w:pPr>
              <w:rPr>
                <w:rFonts w:cstheme="minorHAnsi"/>
              </w:rPr>
            </w:pPr>
            <w:r w:rsidRPr="005C1566">
              <w:rPr>
                <w:rFonts w:cstheme="minorHAnsi"/>
              </w:rPr>
              <w:t>Either grant funded or locally funded by CHC</w:t>
            </w:r>
            <w:r w:rsidR="00C97BA0" w:rsidRPr="005C1566">
              <w:rPr>
                <w:rFonts w:cstheme="minorHAnsi"/>
              </w:rPr>
              <w:t>/SBVC</w:t>
            </w:r>
          </w:p>
        </w:tc>
        <w:tc>
          <w:tcPr>
            <w:tcW w:w="1942" w:type="dxa"/>
          </w:tcPr>
          <w:p w:rsidR="003F0B9D" w:rsidRPr="005C1566" w:rsidRDefault="003F0B9D" w:rsidP="00BE6A32">
            <w:pPr>
              <w:rPr>
                <w:rFonts w:cstheme="minorHAnsi"/>
              </w:rPr>
            </w:pPr>
            <w:r w:rsidRPr="005C1566">
              <w:rPr>
                <w:rFonts w:cstheme="minorHAnsi"/>
              </w:rPr>
              <w:t>Benjamin Mudgett/Rebeccah Warren-Marlatt</w:t>
            </w:r>
          </w:p>
        </w:tc>
      </w:tr>
      <w:tr w:rsidR="005C5EA8" w:rsidRPr="009C1222" w:rsidTr="00CE2703">
        <w:trPr>
          <w:trHeight w:val="1313"/>
        </w:trPr>
        <w:tc>
          <w:tcPr>
            <w:tcW w:w="797" w:type="dxa"/>
          </w:tcPr>
          <w:p w:rsidR="005C5EA8" w:rsidRPr="005C1566" w:rsidRDefault="005C5EA8" w:rsidP="005C5EA8">
            <w:pPr>
              <w:jc w:val="center"/>
              <w:rPr>
                <w:rFonts w:cstheme="minorHAnsi"/>
                <w:b/>
              </w:rPr>
            </w:pPr>
            <w:r w:rsidRPr="005C1566">
              <w:rPr>
                <w:rFonts w:cstheme="minorHAnsi"/>
                <w:b/>
              </w:rPr>
              <w:t>2</w:t>
            </w:r>
          </w:p>
        </w:tc>
        <w:tc>
          <w:tcPr>
            <w:tcW w:w="1510" w:type="dxa"/>
          </w:tcPr>
          <w:p w:rsidR="005C5EA8" w:rsidRPr="005C1566" w:rsidRDefault="005C5EA8" w:rsidP="005C5EA8">
            <w:pPr>
              <w:jc w:val="both"/>
              <w:rPr>
                <w:rFonts w:cstheme="minorHAnsi"/>
                <w:color w:val="000000" w:themeColor="text1"/>
              </w:rPr>
            </w:pPr>
            <w:r w:rsidRPr="005C1566">
              <w:rPr>
                <w:rFonts w:cstheme="minorHAnsi"/>
                <w:color w:val="000000" w:themeColor="text1"/>
              </w:rPr>
              <w:t>District Website Redesign</w:t>
            </w:r>
          </w:p>
        </w:tc>
        <w:tc>
          <w:tcPr>
            <w:tcW w:w="5235" w:type="dxa"/>
          </w:tcPr>
          <w:p w:rsidR="005C5EA8" w:rsidRPr="005C1566" w:rsidRDefault="005C5EA8" w:rsidP="005C5EA8">
            <w:pPr>
              <w:rPr>
                <w:rFonts w:cstheme="minorHAnsi"/>
              </w:rPr>
            </w:pPr>
            <w:r w:rsidRPr="005C1566">
              <w:rPr>
                <w:rFonts w:cstheme="minorHAnsi"/>
              </w:rPr>
              <w:t>The district website has not been updated with a new design in at least 7 years. The redesign will give the district website a new look, feel and features. Funds were identified for this through program review</w:t>
            </w:r>
          </w:p>
        </w:tc>
        <w:tc>
          <w:tcPr>
            <w:tcW w:w="1570" w:type="dxa"/>
          </w:tcPr>
          <w:p w:rsidR="005C5EA8" w:rsidRPr="005C1566" w:rsidRDefault="00B11666" w:rsidP="005C5EA8">
            <w:pPr>
              <w:rPr>
                <w:rFonts w:cstheme="minorHAnsi"/>
              </w:rPr>
            </w:pPr>
            <w:r w:rsidRPr="005C1566">
              <w:rPr>
                <w:rFonts w:cstheme="minorHAnsi"/>
              </w:rPr>
              <w:t>TBD</w:t>
            </w:r>
          </w:p>
        </w:tc>
        <w:tc>
          <w:tcPr>
            <w:tcW w:w="1248" w:type="dxa"/>
          </w:tcPr>
          <w:p w:rsidR="005C5EA8" w:rsidRPr="005C1566" w:rsidRDefault="005C5EA8" w:rsidP="005C5EA8">
            <w:pPr>
              <w:rPr>
                <w:rFonts w:cstheme="minorHAnsi"/>
              </w:rPr>
            </w:pPr>
            <w:r w:rsidRPr="005C1566">
              <w:rPr>
                <w:rFonts w:cstheme="minorHAnsi"/>
              </w:rPr>
              <w:t>200 hours</w:t>
            </w:r>
          </w:p>
        </w:tc>
        <w:tc>
          <w:tcPr>
            <w:tcW w:w="1136" w:type="dxa"/>
          </w:tcPr>
          <w:p w:rsidR="005C5EA8" w:rsidRPr="005C1566" w:rsidRDefault="005C5EA8" w:rsidP="005C5EA8">
            <w:pPr>
              <w:rPr>
                <w:rFonts w:cstheme="minorHAnsi"/>
              </w:rPr>
            </w:pPr>
          </w:p>
        </w:tc>
        <w:tc>
          <w:tcPr>
            <w:tcW w:w="1942" w:type="dxa"/>
          </w:tcPr>
          <w:p w:rsidR="005C5EA8" w:rsidRPr="005C1566" w:rsidRDefault="005C5EA8" w:rsidP="005C5EA8">
            <w:pPr>
              <w:rPr>
                <w:rFonts w:cstheme="minorHAnsi"/>
              </w:rPr>
            </w:pPr>
            <w:r w:rsidRPr="005C1566">
              <w:rPr>
                <w:rFonts w:cstheme="minorHAnsi"/>
              </w:rPr>
              <w:t>Jason Brady/Jeremy Sims</w:t>
            </w:r>
          </w:p>
        </w:tc>
      </w:tr>
      <w:tr w:rsidR="00CE2703" w:rsidRPr="009C1222" w:rsidTr="00A006D9">
        <w:trPr>
          <w:trHeight w:val="1169"/>
        </w:trPr>
        <w:tc>
          <w:tcPr>
            <w:tcW w:w="797" w:type="dxa"/>
          </w:tcPr>
          <w:p w:rsidR="00CE2703" w:rsidRPr="00CE2703" w:rsidRDefault="00CE2703" w:rsidP="00CE2703">
            <w:pPr>
              <w:jc w:val="center"/>
              <w:rPr>
                <w:rFonts w:cstheme="minorHAnsi"/>
                <w:b/>
              </w:rPr>
            </w:pPr>
            <w:r>
              <w:rPr>
                <w:rFonts w:cstheme="minorHAnsi"/>
                <w:b/>
              </w:rPr>
              <w:t>3</w:t>
            </w:r>
          </w:p>
        </w:tc>
        <w:tc>
          <w:tcPr>
            <w:tcW w:w="1510" w:type="dxa"/>
          </w:tcPr>
          <w:p w:rsidR="00CE2703" w:rsidRPr="00CE2703" w:rsidRDefault="00CE2703" w:rsidP="00CE2703">
            <w:pPr>
              <w:jc w:val="both"/>
              <w:rPr>
                <w:rFonts w:cstheme="minorHAnsi"/>
                <w:color w:val="000000" w:themeColor="text1"/>
              </w:rPr>
            </w:pPr>
            <w:proofErr w:type="spellStart"/>
            <w:r w:rsidRPr="00CE2703">
              <w:rPr>
                <w:rFonts w:cstheme="minorHAnsi"/>
                <w:color w:val="000000" w:themeColor="text1"/>
              </w:rPr>
              <w:t>CourseLeaf</w:t>
            </w:r>
            <w:proofErr w:type="spellEnd"/>
          </w:p>
        </w:tc>
        <w:tc>
          <w:tcPr>
            <w:tcW w:w="5235" w:type="dxa"/>
          </w:tcPr>
          <w:p w:rsidR="00CE2703" w:rsidRPr="00CE2703" w:rsidRDefault="00CE2703" w:rsidP="00CE2703">
            <w:pPr>
              <w:rPr>
                <w:rFonts w:cstheme="minorHAnsi"/>
              </w:rPr>
            </w:pPr>
            <w:r w:rsidRPr="00CE2703">
              <w:rPr>
                <w:rFonts w:cstheme="minorHAnsi"/>
              </w:rPr>
              <w:t xml:space="preserve">SBVC has an outdated process </w:t>
            </w:r>
            <w:proofErr w:type="gramStart"/>
            <w:r w:rsidRPr="00CE2703">
              <w:rPr>
                <w:rFonts w:cstheme="minorHAnsi"/>
              </w:rPr>
              <w:t>in regards to</w:t>
            </w:r>
            <w:proofErr w:type="gramEnd"/>
            <w:r w:rsidRPr="00CE2703">
              <w:rPr>
                <w:rFonts w:cstheme="minorHAnsi"/>
              </w:rPr>
              <w:t xml:space="preserve"> </w:t>
            </w:r>
            <w:proofErr w:type="spellStart"/>
            <w:r w:rsidRPr="00CE2703">
              <w:rPr>
                <w:rFonts w:cstheme="minorHAnsi"/>
              </w:rPr>
              <w:t>it’s</w:t>
            </w:r>
            <w:proofErr w:type="spellEnd"/>
            <w:r w:rsidRPr="00CE2703">
              <w:rPr>
                <w:rFonts w:cstheme="minorHAnsi"/>
              </w:rPr>
              <w:t xml:space="preserve"> curriculum and catalog.  Faculty enter their curriculum into </w:t>
            </w:r>
            <w:proofErr w:type="spellStart"/>
            <w:r w:rsidRPr="00CE2703">
              <w:rPr>
                <w:rFonts w:cstheme="minorHAnsi"/>
              </w:rPr>
              <w:t>CurricUNET</w:t>
            </w:r>
            <w:proofErr w:type="spellEnd"/>
            <w:r w:rsidRPr="00CE2703">
              <w:rPr>
                <w:rFonts w:cstheme="minorHAnsi"/>
              </w:rPr>
              <w:t xml:space="preserve"> after receiving approval from the Curriculum Committee and the Board of Trustees.  A member of the office of Instruction then enters the data at the State Chancellor’s office.  The Schedule/Catalog specialist then takes what was board approved and manually enters this into the catalog which is currently a Word document.  With the high number of proposals the Curriculum Committee reviews and approves each semester, items get lost in the work flow.</w:t>
            </w:r>
          </w:p>
          <w:p w:rsidR="00CE2703" w:rsidRPr="00CE2703" w:rsidRDefault="00CE2703" w:rsidP="00CE2703">
            <w:pPr>
              <w:rPr>
                <w:rFonts w:cstheme="minorHAnsi"/>
              </w:rPr>
            </w:pPr>
          </w:p>
          <w:p w:rsidR="00CE2703" w:rsidRDefault="00CE2703" w:rsidP="00CE2703">
            <w:pPr>
              <w:rPr>
                <w:rFonts w:cstheme="minorHAnsi"/>
              </w:rPr>
            </w:pPr>
            <w:r w:rsidRPr="00CE2703">
              <w:rPr>
                <w:rFonts w:cstheme="minorHAnsi"/>
              </w:rPr>
              <w:t>SBVC is looking to procure/implement an Electronic Catalog, Curriculum and Scheduling management software system to help automate and streamline the workflow</w:t>
            </w:r>
          </w:p>
          <w:p w:rsidR="00E33FC2" w:rsidRPr="00CE2703" w:rsidRDefault="00E33FC2" w:rsidP="00CE2703">
            <w:pPr>
              <w:rPr>
                <w:rFonts w:cstheme="minorHAnsi"/>
              </w:rPr>
            </w:pPr>
          </w:p>
        </w:tc>
        <w:tc>
          <w:tcPr>
            <w:tcW w:w="1570" w:type="dxa"/>
          </w:tcPr>
          <w:p w:rsidR="00CE2703" w:rsidRPr="00CE2703" w:rsidRDefault="00CA3A9D" w:rsidP="00CE2703">
            <w:pPr>
              <w:rPr>
                <w:rFonts w:cstheme="minorHAnsi"/>
              </w:rPr>
            </w:pPr>
            <w:r>
              <w:rPr>
                <w:rFonts w:cstheme="minorHAnsi"/>
              </w:rPr>
              <w:t>March 2019</w:t>
            </w:r>
          </w:p>
        </w:tc>
        <w:tc>
          <w:tcPr>
            <w:tcW w:w="1248" w:type="dxa"/>
          </w:tcPr>
          <w:p w:rsidR="00CE2703" w:rsidRPr="00CE2703" w:rsidRDefault="00CE2703" w:rsidP="00CE2703">
            <w:r w:rsidRPr="00CE2703">
              <w:rPr>
                <w:rFonts w:cstheme="minorHAnsi"/>
              </w:rPr>
              <w:t>120</w:t>
            </w:r>
          </w:p>
        </w:tc>
        <w:tc>
          <w:tcPr>
            <w:tcW w:w="1136" w:type="dxa"/>
          </w:tcPr>
          <w:p w:rsidR="00CE2703" w:rsidRPr="00CE2703" w:rsidRDefault="00CE2703" w:rsidP="00CE2703">
            <w:r w:rsidRPr="00CE2703">
              <w:rPr>
                <w:rFonts w:cstheme="minorHAnsi"/>
              </w:rPr>
              <w:t>$19,200</w:t>
            </w:r>
          </w:p>
        </w:tc>
        <w:tc>
          <w:tcPr>
            <w:tcW w:w="1942" w:type="dxa"/>
          </w:tcPr>
          <w:p w:rsidR="00CE2703" w:rsidRPr="00CE2703" w:rsidRDefault="00CE2703" w:rsidP="00CE2703">
            <w:r w:rsidRPr="00CE2703">
              <w:rPr>
                <w:rFonts w:cstheme="minorHAnsi"/>
              </w:rPr>
              <w:t>James Smith/Dianna Rodriguez</w:t>
            </w:r>
          </w:p>
        </w:tc>
      </w:tr>
    </w:tbl>
    <w:p w:rsidR="00310BCA" w:rsidRDefault="001609E2">
      <w:pPr>
        <w:rPr>
          <w:rFonts w:cstheme="minorHAnsi"/>
        </w:rPr>
      </w:pPr>
      <w:r>
        <w:rPr>
          <w:rFonts w:cstheme="minorHAnsi"/>
        </w:rPr>
        <w:t xml:space="preserve">                                             </w:t>
      </w:r>
    </w:p>
    <w:p w:rsidR="00310BCA" w:rsidRDefault="00310BCA">
      <w:pPr>
        <w:rPr>
          <w:rFonts w:cstheme="minorHAnsi"/>
        </w:rPr>
      </w:pPr>
    </w:p>
    <w:p w:rsidR="00BE6A32" w:rsidRDefault="001609E2">
      <w:pPr>
        <w:rPr>
          <w:rFonts w:cstheme="minorHAnsi"/>
        </w:rPr>
      </w:pPr>
      <w:r>
        <w:rPr>
          <w:rFonts w:cstheme="minorHAnsi"/>
        </w:rPr>
        <w:lastRenderedPageBreak/>
        <w:t xml:space="preserve">                                                                                                                                                                                                                                                                                                                                                                                                                                                                                                                                                                                                                                                                                                                                                                                                                                                                                                                                                                                                                                                                                                                                                                                                                                                                                                                                                                                                              </w:t>
      </w:r>
    </w:p>
    <w:p w:rsidR="0063486F" w:rsidRDefault="0063486F">
      <w:pPr>
        <w:rPr>
          <w:rFonts w:cstheme="minorHAnsi"/>
        </w:rPr>
      </w:pPr>
    </w:p>
    <w:tbl>
      <w:tblPr>
        <w:tblStyle w:val="TableGrid"/>
        <w:tblW w:w="13742" w:type="dxa"/>
        <w:tblInd w:w="-792" w:type="dxa"/>
        <w:tblLayout w:type="fixed"/>
        <w:tblLook w:val="04A0" w:firstRow="1" w:lastRow="0" w:firstColumn="1" w:lastColumn="0" w:noHBand="0" w:noVBand="1"/>
      </w:tblPr>
      <w:tblGrid>
        <w:gridCol w:w="877"/>
        <w:gridCol w:w="2205"/>
        <w:gridCol w:w="5155"/>
        <w:gridCol w:w="1640"/>
        <w:gridCol w:w="1170"/>
        <w:gridCol w:w="982"/>
        <w:gridCol w:w="1713"/>
      </w:tblGrid>
      <w:tr w:rsidR="009614F5" w:rsidTr="00003788">
        <w:tc>
          <w:tcPr>
            <w:tcW w:w="877" w:type="dxa"/>
          </w:tcPr>
          <w:p w:rsidR="009614F5" w:rsidRPr="00F85CA9" w:rsidRDefault="009614F5" w:rsidP="009614F5">
            <w:pPr>
              <w:jc w:val="center"/>
              <w:rPr>
                <w:rFonts w:cstheme="minorHAnsi"/>
                <w:b/>
                <w:sz w:val="28"/>
                <w:szCs w:val="28"/>
              </w:rPr>
            </w:pPr>
            <w:r w:rsidRPr="00F85CA9">
              <w:rPr>
                <w:rFonts w:cstheme="minorHAnsi"/>
                <w:b/>
                <w:sz w:val="28"/>
                <w:szCs w:val="28"/>
              </w:rPr>
              <w:t>Rank</w:t>
            </w:r>
          </w:p>
        </w:tc>
        <w:tc>
          <w:tcPr>
            <w:tcW w:w="2205" w:type="dxa"/>
          </w:tcPr>
          <w:p w:rsidR="009614F5" w:rsidRPr="00F85CA9" w:rsidRDefault="009614F5" w:rsidP="009614F5">
            <w:pPr>
              <w:rPr>
                <w:rFonts w:cstheme="minorHAnsi"/>
                <w:b/>
                <w:sz w:val="28"/>
                <w:szCs w:val="28"/>
              </w:rPr>
            </w:pPr>
            <w:r w:rsidRPr="00F85CA9">
              <w:rPr>
                <w:rFonts w:cstheme="minorHAnsi"/>
                <w:b/>
                <w:sz w:val="28"/>
                <w:szCs w:val="28"/>
              </w:rPr>
              <w:t>Project Title</w:t>
            </w:r>
          </w:p>
        </w:tc>
        <w:tc>
          <w:tcPr>
            <w:tcW w:w="5155" w:type="dxa"/>
          </w:tcPr>
          <w:p w:rsidR="009614F5" w:rsidRPr="00F85CA9" w:rsidRDefault="009614F5" w:rsidP="009614F5">
            <w:pPr>
              <w:rPr>
                <w:rFonts w:cstheme="minorHAnsi"/>
                <w:b/>
                <w:sz w:val="28"/>
                <w:szCs w:val="28"/>
              </w:rPr>
            </w:pPr>
            <w:r w:rsidRPr="00F85CA9">
              <w:rPr>
                <w:rFonts w:cstheme="minorHAnsi"/>
                <w:b/>
                <w:sz w:val="28"/>
                <w:szCs w:val="28"/>
              </w:rPr>
              <w:t xml:space="preserve">Description of </w:t>
            </w:r>
            <w:r w:rsidRPr="00A006D9">
              <w:rPr>
                <w:rFonts w:cstheme="minorHAnsi"/>
                <w:b/>
                <w:sz w:val="28"/>
                <w:szCs w:val="28"/>
              </w:rPr>
              <w:t>NEW</w:t>
            </w:r>
            <w:r w:rsidRPr="00F85CA9">
              <w:rPr>
                <w:rFonts w:cstheme="minorHAnsi"/>
                <w:b/>
                <w:sz w:val="28"/>
                <w:szCs w:val="28"/>
              </w:rPr>
              <w:t xml:space="preserve"> </w:t>
            </w:r>
            <w:r w:rsidR="00A006D9">
              <w:rPr>
                <w:rFonts w:cstheme="minorHAnsi"/>
                <w:b/>
                <w:sz w:val="28"/>
                <w:szCs w:val="28"/>
              </w:rPr>
              <w:t xml:space="preserve">and Non-Addressed </w:t>
            </w:r>
            <w:r w:rsidRPr="00F85CA9">
              <w:rPr>
                <w:rFonts w:cstheme="minorHAnsi"/>
                <w:b/>
                <w:sz w:val="28"/>
                <w:szCs w:val="28"/>
              </w:rPr>
              <w:t>Projects</w:t>
            </w:r>
          </w:p>
        </w:tc>
        <w:tc>
          <w:tcPr>
            <w:tcW w:w="1640" w:type="dxa"/>
          </w:tcPr>
          <w:p w:rsidR="009614F5" w:rsidRPr="00F85CA9" w:rsidRDefault="009614F5" w:rsidP="009614F5">
            <w:pPr>
              <w:jc w:val="center"/>
              <w:rPr>
                <w:rFonts w:cstheme="minorHAnsi"/>
                <w:b/>
                <w:sz w:val="28"/>
                <w:szCs w:val="28"/>
              </w:rPr>
            </w:pPr>
            <w:r>
              <w:rPr>
                <w:rFonts w:cstheme="minorHAnsi"/>
                <w:b/>
                <w:sz w:val="28"/>
                <w:szCs w:val="28"/>
              </w:rPr>
              <w:t>Est. Completion</w:t>
            </w:r>
          </w:p>
        </w:tc>
        <w:tc>
          <w:tcPr>
            <w:tcW w:w="1170"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Duration</w:t>
            </w:r>
          </w:p>
        </w:tc>
        <w:tc>
          <w:tcPr>
            <w:tcW w:w="982" w:type="dxa"/>
          </w:tcPr>
          <w:p w:rsidR="009614F5" w:rsidRPr="00F85CA9" w:rsidRDefault="00B0275C" w:rsidP="009614F5">
            <w:pPr>
              <w:jc w:val="center"/>
              <w:rPr>
                <w:rFonts w:cstheme="minorHAnsi"/>
                <w:b/>
                <w:sz w:val="28"/>
                <w:szCs w:val="28"/>
              </w:rPr>
            </w:pPr>
            <w:r>
              <w:rPr>
                <w:rFonts w:cstheme="minorHAnsi"/>
                <w:b/>
                <w:sz w:val="28"/>
                <w:szCs w:val="28"/>
              </w:rPr>
              <w:t xml:space="preserve">Est. </w:t>
            </w:r>
            <w:r w:rsidR="009614F5" w:rsidRPr="00F85CA9">
              <w:rPr>
                <w:rFonts w:cstheme="minorHAnsi"/>
                <w:b/>
                <w:sz w:val="28"/>
                <w:szCs w:val="28"/>
              </w:rPr>
              <w:t>Cost</w:t>
            </w:r>
          </w:p>
        </w:tc>
        <w:tc>
          <w:tcPr>
            <w:tcW w:w="1713" w:type="dxa"/>
          </w:tcPr>
          <w:p w:rsidR="009614F5" w:rsidRPr="00F85CA9" w:rsidRDefault="009614F5" w:rsidP="009614F5">
            <w:pPr>
              <w:jc w:val="center"/>
              <w:rPr>
                <w:rFonts w:cstheme="minorHAnsi"/>
                <w:b/>
                <w:sz w:val="28"/>
                <w:szCs w:val="28"/>
              </w:rPr>
            </w:pPr>
            <w:r w:rsidRPr="00F85CA9">
              <w:rPr>
                <w:rFonts w:cstheme="minorHAnsi"/>
                <w:b/>
                <w:sz w:val="28"/>
                <w:szCs w:val="28"/>
              </w:rPr>
              <w:t>Sponsor</w:t>
            </w:r>
          </w:p>
        </w:tc>
      </w:tr>
      <w:tr w:rsidR="00CA3A9D" w:rsidTr="00003788">
        <w:tc>
          <w:tcPr>
            <w:tcW w:w="877" w:type="dxa"/>
          </w:tcPr>
          <w:p w:rsidR="00CA3A9D" w:rsidRPr="000F56DF" w:rsidRDefault="00CA3A9D" w:rsidP="00CA3A9D">
            <w:pPr>
              <w:jc w:val="center"/>
              <w:rPr>
                <w:rFonts w:cstheme="minorHAnsi"/>
                <w:b/>
                <w:highlight w:val="yellow"/>
              </w:rPr>
            </w:pPr>
            <w:r>
              <w:rPr>
                <w:rFonts w:cstheme="minorHAnsi"/>
                <w:b/>
                <w:highlight w:val="yellow"/>
              </w:rPr>
              <w:t>0</w:t>
            </w:r>
          </w:p>
        </w:tc>
        <w:tc>
          <w:tcPr>
            <w:tcW w:w="2205" w:type="dxa"/>
          </w:tcPr>
          <w:p w:rsidR="00CA3A9D" w:rsidRPr="000F56DF" w:rsidRDefault="00CA3A9D" w:rsidP="00CA3A9D">
            <w:pPr>
              <w:jc w:val="both"/>
              <w:rPr>
                <w:rFonts w:cstheme="minorHAnsi"/>
                <w:color w:val="000000" w:themeColor="text1"/>
                <w:highlight w:val="yellow"/>
              </w:rPr>
            </w:pPr>
            <w:proofErr w:type="spellStart"/>
            <w:r w:rsidRPr="000F56DF">
              <w:rPr>
                <w:rFonts w:cstheme="minorHAnsi"/>
                <w:color w:val="000000" w:themeColor="text1"/>
                <w:highlight w:val="yellow"/>
              </w:rPr>
              <w:t>SLOCloud</w:t>
            </w:r>
            <w:proofErr w:type="spellEnd"/>
            <w:r w:rsidRPr="000F56DF">
              <w:rPr>
                <w:rFonts w:cstheme="minorHAnsi"/>
                <w:color w:val="000000" w:themeColor="text1"/>
                <w:highlight w:val="yellow"/>
              </w:rPr>
              <w:t xml:space="preserve"> enhancement – track at student level</w:t>
            </w:r>
          </w:p>
        </w:tc>
        <w:tc>
          <w:tcPr>
            <w:tcW w:w="5155" w:type="dxa"/>
          </w:tcPr>
          <w:p w:rsidR="00CA3A9D" w:rsidRDefault="00CA3A9D" w:rsidP="00CA3A9D">
            <w:pPr>
              <w:rPr>
                <w:highlight w:val="yellow"/>
              </w:rPr>
            </w:pPr>
            <w:r w:rsidRPr="000F56DF">
              <w:rPr>
                <w:highlight w:val="yellow"/>
              </w:rPr>
              <w:t>In order to address Standard IB6 and improve student success by informing teaching, learning, and curriculum Crafton faculty have identified the following categories to disaggregate student learning outcomes data by: delivery mode (online, face-to-face, hybrid), section length (number of weeks, short-term), and section specific strategy (linked, compressed, SLA, LCs, etc.). All of this information is currently available in the SLO Cloud.  However, faculty also identified the following: gender, ethnicity, and economically disadvantaged status.  In order to be able to track outcomes by student demographics the SLO Cloud needs to be enhanced so that SLO results are tracked at the student level, not just at the section level, while at the same time providing the option to enter outcomes results at the section or the student level.</w:t>
            </w:r>
          </w:p>
          <w:p w:rsidR="00E33FC2" w:rsidRDefault="00E33FC2" w:rsidP="00CA3A9D">
            <w:pPr>
              <w:rPr>
                <w:highlight w:val="yellow"/>
              </w:rPr>
            </w:pPr>
          </w:p>
          <w:p w:rsidR="00E33FC2" w:rsidRPr="000F56DF" w:rsidRDefault="00E33FC2" w:rsidP="00CA3A9D">
            <w:pPr>
              <w:rPr>
                <w:highlight w:val="yellow"/>
              </w:rPr>
            </w:pPr>
          </w:p>
        </w:tc>
        <w:tc>
          <w:tcPr>
            <w:tcW w:w="1640" w:type="dxa"/>
          </w:tcPr>
          <w:p w:rsidR="00CA3A9D" w:rsidRPr="000F56DF" w:rsidRDefault="00CA3A9D" w:rsidP="00CA3A9D">
            <w:pPr>
              <w:rPr>
                <w:rFonts w:cstheme="minorHAnsi"/>
                <w:highlight w:val="yellow"/>
              </w:rPr>
            </w:pPr>
            <w:r w:rsidRPr="000F56DF">
              <w:rPr>
                <w:rFonts w:cstheme="minorHAnsi"/>
                <w:highlight w:val="yellow"/>
              </w:rPr>
              <w:t>TBD</w:t>
            </w: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r w:rsidRPr="000F56DF">
              <w:rPr>
                <w:rFonts w:cstheme="minorHAnsi"/>
                <w:highlight w:val="yellow"/>
              </w:rPr>
              <w:t>Time and Materials</w:t>
            </w:r>
          </w:p>
        </w:tc>
        <w:tc>
          <w:tcPr>
            <w:tcW w:w="1713" w:type="dxa"/>
          </w:tcPr>
          <w:p w:rsidR="00CA3A9D" w:rsidRPr="000F56DF" w:rsidRDefault="00CA3A9D" w:rsidP="00CA3A9D">
            <w:pPr>
              <w:rPr>
                <w:rFonts w:cstheme="minorHAnsi"/>
                <w:highlight w:val="yellow"/>
              </w:rPr>
            </w:pPr>
            <w:r w:rsidRPr="000F56DF">
              <w:rPr>
                <w:rFonts w:cstheme="minorHAnsi"/>
                <w:highlight w:val="yellow"/>
              </w:rPr>
              <w:t>Keith Wurtz/Wei Zhou</w:t>
            </w:r>
          </w:p>
        </w:tc>
      </w:tr>
      <w:tr w:rsidR="00CA3A9D" w:rsidTr="00003788">
        <w:tc>
          <w:tcPr>
            <w:tcW w:w="877" w:type="dxa"/>
          </w:tcPr>
          <w:p w:rsidR="00CA3A9D" w:rsidRPr="00E50323" w:rsidRDefault="00CA3A9D" w:rsidP="00CA3A9D">
            <w:pPr>
              <w:jc w:val="center"/>
              <w:rPr>
                <w:rFonts w:cstheme="minorHAnsi"/>
                <w:b/>
                <w:highlight w:val="yellow"/>
              </w:rPr>
            </w:pPr>
            <w:r>
              <w:rPr>
                <w:rFonts w:cstheme="minorHAnsi"/>
                <w:b/>
                <w:highlight w:val="yellow"/>
              </w:rPr>
              <w:t>0</w:t>
            </w:r>
          </w:p>
        </w:tc>
        <w:tc>
          <w:tcPr>
            <w:tcW w:w="2205" w:type="dxa"/>
          </w:tcPr>
          <w:p w:rsidR="00CA3A9D" w:rsidRPr="00310BCA" w:rsidRDefault="00291981" w:rsidP="00CA3A9D">
            <w:pPr>
              <w:jc w:val="both"/>
              <w:rPr>
                <w:rFonts w:cstheme="minorHAnsi"/>
                <w:color w:val="000000" w:themeColor="text1"/>
                <w:highlight w:val="yellow"/>
              </w:rPr>
            </w:pPr>
            <w:r>
              <w:rPr>
                <w:rFonts w:cstheme="minorHAnsi"/>
                <w:color w:val="000000" w:themeColor="text1"/>
                <w:highlight w:val="yellow"/>
              </w:rPr>
              <w:t>Presence Student engagement software</w:t>
            </w:r>
          </w:p>
        </w:tc>
        <w:tc>
          <w:tcPr>
            <w:tcW w:w="5155" w:type="dxa"/>
          </w:tcPr>
          <w:p w:rsidR="00CA3A9D" w:rsidRDefault="00291981" w:rsidP="00CA3A9D">
            <w:pPr>
              <w:rPr>
                <w:rFonts w:cstheme="minorHAnsi"/>
                <w:highlight w:val="yellow"/>
              </w:rPr>
            </w:pPr>
            <w:r>
              <w:rPr>
                <w:rFonts w:cstheme="minorHAnsi"/>
                <w:highlight w:val="yellow"/>
              </w:rPr>
              <w:t xml:space="preserve">San Bernardino Valley College does not have a specific avenue in measuring student engagement.  Research has proven that engaged students are more successful in completing their educational goals.  Moreover, students who need “basic skills” are less likely to be successful because of the time it take for them to complete their educational goals.  Currently, about ninety percent of students at SBVC are basic skills students.  Ensuring that these specific students are engaged will assist in their retention and provide them with the support to complete their educational goals.  </w:t>
            </w:r>
            <w:r>
              <w:rPr>
                <w:rFonts w:cstheme="minorHAnsi"/>
                <w:highlight w:val="yellow"/>
              </w:rPr>
              <w:lastRenderedPageBreak/>
              <w:t xml:space="preserve">In order to support students, we need to consider the groups of students that we support.  These include traditional day time student, evening and weekend student, and online students.  Fortunately, SBVC has events that provide our traditional day time students and, at time, our evening and weekend students opportunities to engage with the college.  Further focus on online students must be addressed.  </w:t>
            </w:r>
          </w:p>
          <w:p w:rsidR="0006658B" w:rsidRPr="00310BCA" w:rsidRDefault="0006658B" w:rsidP="00CA3A9D">
            <w:pPr>
              <w:rPr>
                <w:rFonts w:cstheme="minorHAnsi"/>
                <w:highlight w:val="yellow"/>
              </w:rPr>
            </w:pPr>
          </w:p>
        </w:tc>
        <w:tc>
          <w:tcPr>
            <w:tcW w:w="1640" w:type="dxa"/>
          </w:tcPr>
          <w:p w:rsidR="00CA3A9D" w:rsidRPr="000F56DF" w:rsidRDefault="00291981" w:rsidP="00CA3A9D">
            <w:pPr>
              <w:rPr>
                <w:rFonts w:cstheme="minorHAnsi"/>
                <w:highlight w:val="yellow"/>
              </w:rPr>
            </w:pPr>
            <w:r w:rsidRPr="000F56DF">
              <w:rPr>
                <w:rFonts w:cstheme="minorHAnsi"/>
                <w:highlight w:val="yellow"/>
              </w:rPr>
              <w:lastRenderedPageBreak/>
              <w:t>TBD</w:t>
            </w: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291981" w:rsidP="00CA3A9D">
            <w:pPr>
              <w:rPr>
                <w:rFonts w:cstheme="minorHAnsi"/>
                <w:highlight w:val="yellow"/>
              </w:rPr>
            </w:pPr>
            <w:r w:rsidRPr="000F56DF">
              <w:rPr>
                <w:rFonts w:cstheme="minorHAnsi"/>
                <w:highlight w:val="yellow"/>
              </w:rPr>
              <w:t>Time and Materials</w:t>
            </w:r>
          </w:p>
        </w:tc>
        <w:tc>
          <w:tcPr>
            <w:tcW w:w="1713" w:type="dxa"/>
          </w:tcPr>
          <w:p w:rsidR="00CA3A9D" w:rsidRPr="00310BCA" w:rsidRDefault="00291981" w:rsidP="00CA3A9D">
            <w:pPr>
              <w:rPr>
                <w:highlight w:val="yellow"/>
              </w:rPr>
            </w:pPr>
            <w:r>
              <w:rPr>
                <w:highlight w:val="yellow"/>
              </w:rPr>
              <w:t>Raymond Carlos</w:t>
            </w:r>
          </w:p>
        </w:tc>
      </w:tr>
      <w:tr w:rsidR="00CA3A9D" w:rsidRPr="000F56DF" w:rsidTr="003E364B">
        <w:tc>
          <w:tcPr>
            <w:tcW w:w="877" w:type="dxa"/>
          </w:tcPr>
          <w:p w:rsidR="00CA3A9D" w:rsidRPr="000F56DF" w:rsidRDefault="00A166BC" w:rsidP="00CA3A9D">
            <w:pPr>
              <w:jc w:val="center"/>
              <w:rPr>
                <w:rFonts w:cstheme="minorHAnsi"/>
                <w:b/>
                <w:highlight w:val="yellow"/>
              </w:rPr>
            </w:pPr>
            <w:r>
              <w:rPr>
                <w:rFonts w:cstheme="minorHAnsi"/>
                <w:b/>
                <w:highlight w:val="yellow"/>
              </w:rPr>
              <w:t>0</w:t>
            </w:r>
          </w:p>
        </w:tc>
        <w:tc>
          <w:tcPr>
            <w:tcW w:w="2205" w:type="dxa"/>
          </w:tcPr>
          <w:p w:rsidR="00CA3A9D" w:rsidRPr="000F56DF" w:rsidRDefault="00A166BC" w:rsidP="00CA3A9D">
            <w:pPr>
              <w:jc w:val="both"/>
              <w:rPr>
                <w:rFonts w:cstheme="minorHAnsi"/>
                <w:color w:val="000000" w:themeColor="text1"/>
                <w:highlight w:val="yellow"/>
              </w:rPr>
            </w:pPr>
            <w:r>
              <w:rPr>
                <w:rFonts w:cstheme="minorHAnsi"/>
                <w:color w:val="000000" w:themeColor="text1"/>
                <w:highlight w:val="yellow"/>
              </w:rPr>
              <w:t xml:space="preserve">Placeholder - </w:t>
            </w:r>
          </w:p>
        </w:tc>
        <w:tc>
          <w:tcPr>
            <w:tcW w:w="5155" w:type="dxa"/>
          </w:tcPr>
          <w:p w:rsidR="00CA3A9D" w:rsidRPr="000F56DF" w:rsidRDefault="00CA3A9D" w:rsidP="00CA3A9D">
            <w:pPr>
              <w:rPr>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r w:rsidR="00CA3A9D" w:rsidRPr="000F56DF" w:rsidTr="003E364B">
        <w:tc>
          <w:tcPr>
            <w:tcW w:w="877" w:type="dxa"/>
          </w:tcPr>
          <w:p w:rsidR="00CA3A9D" w:rsidRPr="000F56DF" w:rsidRDefault="00CA3A9D" w:rsidP="00CA3A9D">
            <w:pPr>
              <w:jc w:val="center"/>
              <w:rPr>
                <w:rFonts w:cstheme="minorHAnsi"/>
                <w:b/>
                <w:highlight w:val="yellow"/>
              </w:rPr>
            </w:pPr>
          </w:p>
        </w:tc>
        <w:tc>
          <w:tcPr>
            <w:tcW w:w="2205" w:type="dxa"/>
          </w:tcPr>
          <w:p w:rsidR="00CA3A9D" w:rsidRPr="000F56DF" w:rsidRDefault="00CA3A9D" w:rsidP="00CA3A9D">
            <w:pPr>
              <w:rPr>
                <w:rFonts w:cstheme="minorHAnsi"/>
                <w:highlight w:val="yellow"/>
              </w:rPr>
            </w:pPr>
          </w:p>
        </w:tc>
        <w:tc>
          <w:tcPr>
            <w:tcW w:w="5155" w:type="dxa"/>
          </w:tcPr>
          <w:p w:rsidR="00CA3A9D" w:rsidRPr="000F56DF" w:rsidRDefault="00CA3A9D" w:rsidP="00CA3A9D">
            <w:pPr>
              <w:rPr>
                <w:rFonts w:cstheme="minorHAnsi"/>
                <w:highlight w:val="yellow"/>
              </w:rPr>
            </w:pPr>
          </w:p>
        </w:tc>
        <w:tc>
          <w:tcPr>
            <w:tcW w:w="1640" w:type="dxa"/>
          </w:tcPr>
          <w:p w:rsidR="00CA3A9D" w:rsidRPr="000F56DF" w:rsidRDefault="00CA3A9D" w:rsidP="00CA3A9D">
            <w:pPr>
              <w:rPr>
                <w:rFonts w:cstheme="minorHAnsi"/>
                <w:highlight w:val="yellow"/>
              </w:rPr>
            </w:pPr>
          </w:p>
        </w:tc>
        <w:tc>
          <w:tcPr>
            <w:tcW w:w="1170" w:type="dxa"/>
          </w:tcPr>
          <w:p w:rsidR="00CA3A9D" w:rsidRPr="000F56DF" w:rsidRDefault="00CA3A9D" w:rsidP="00CA3A9D">
            <w:pPr>
              <w:rPr>
                <w:rFonts w:cstheme="minorHAnsi"/>
                <w:highlight w:val="yellow"/>
              </w:rPr>
            </w:pPr>
          </w:p>
        </w:tc>
        <w:tc>
          <w:tcPr>
            <w:tcW w:w="982" w:type="dxa"/>
          </w:tcPr>
          <w:p w:rsidR="00CA3A9D" w:rsidRPr="000F56DF" w:rsidRDefault="00CA3A9D" w:rsidP="00CA3A9D">
            <w:pPr>
              <w:rPr>
                <w:rFonts w:cstheme="minorHAnsi"/>
                <w:highlight w:val="yellow"/>
              </w:rPr>
            </w:pPr>
          </w:p>
        </w:tc>
        <w:tc>
          <w:tcPr>
            <w:tcW w:w="1713" w:type="dxa"/>
          </w:tcPr>
          <w:p w:rsidR="00CA3A9D" w:rsidRPr="000F56DF" w:rsidRDefault="00CA3A9D" w:rsidP="00CA3A9D">
            <w:pPr>
              <w:rPr>
                <w:rFonts w:cstheme="minorHAnsi"/>
                <w:highlight w:val="yellow"/>
              </w:rPr>
            </w:pPr>
          </w:p>
        </w:tc>
      </w:tr>
    </w:tbl>
    <w:p w:rsidR="00462F02" w:rsidRDefault="00462F02" w:rsidP="00B11666">
      <w:pPr>
        <w:rPr>
          <w:rFonts w:cstheme="minorHAnsi"/>
        </w:rPr>
      </w:pPr>
    </w:p>
    <w:sectPr w:rsidR="00462F02" w:rsidSect="00E40B13">
      <w:footerReference w:type="default" r:id="rId8"/>
      <w:pgSz w:w="15840" w:h="12240" w:orient="landscape"/>
      <w:pgMar w:top="99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8AA" w:rsidRDefault="00E908AA" w:rsidP="00E40B13">
      <w:pPr>
        <w:spacing w:after="0" w:line="240" w:lineRule="auto"/>
      </w:pPr>
      <w:r>
        <w:separator/>
      </w:r>
    </w:p>
  </w:endnote>
  <w:endnote w:type="continuationSeparator" w:id="0">
    <w:p w:rsidR="00E908AA" w:rsidRDefault="00E908AA" w:rsidP="00E4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1206"/>
      <w:docPartObj>
        <w:docPartGallery w:val="Page Numbers (Bottom of Page)"/>
        <w:docPartUnique/>
      </w:docPartObj>
    </w:sdtPr>
    <w:sdtEndPr>
      <w:rPr>
        <w:noProof/>
      </w:rPr>
    </w:sdtEndPr>
    <w:sdtContent>
      <w:p w:rsidR="00782BCB" w:rsidRDefault="00782BCB">
        <w:pPr>
          <w:pStyle w:val="Footer"/>
          <w:jc w:val="center"/>
        </w:pPr>
        <w:r>
          <w:fldChar w:fldCharType="begin"/>
        </w:r>
        <w:r>
          <w:instrText xml:space="preserve"> PAGE   \* MERGEFORMAT </w:instrText>
        </w:r>
        <w:r>
          <w:fldChar w:fldCharType="separate"/>
        </w:r>
        <w:r w:rsidR="00C33644">
          <w:rPr>
            <w:noProof/>
          </w:rPr>
          <w:t>7</w:t>
        </w:r>
        <w:r>
          <w:rPr>
            <w:noProof/>
          </w:rPr>
          <w:fldChar w:fldCharType="end"/>
        </w:r>
      </w:p>
    </w:sdtContent>
  </w:sdt>
  <w:p w:rsidR="00782BCB" w:rsidRDefault="007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8AA" w:rsidRDefault="00E908AA" w:rsidP="00E40B13">
      <w:pPr>
        <w:spacing w:after="0" w:line="240" w:lineRule="auto"/>
      </w:pPr>
      <w:r>
        <w:separator/>
      </w:r>
    </w:p>
  </w:footnote>
  <w:footnote w:type="continuationSeparator" w:id="0">
    <w:p w:rsidR="00E908AA" w:rsidRDefault="00E908AA" w:rsidP="00E4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6478"/>
    <w:multiLevelType w:val="hybridMultilevel"/>
    <w:tmpl w:val="63508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7872CA"/>
    <w:multiLevelType w:val="hybridMultilevel"/>
    <w:tmpl w:val="01B24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D"/>
    <w:rsid w:val="00003788"/>
    <w:rsid w:val="00015D2D"/>
    <w:rsid w:val="000315DC"/>
    <w:rsid w:val="000336F7"/>
    <w:rsid w:val="000417E0"/>
    <w:rsid w:val="0004772F"/>
    <w:rsid w:val="00052EB3"/>
    <w:rsid w:val="00053329"/>
    <w:rsid w:val="00057317"/>
    <w:rsid w:val="0006658B"/>
    <w:rsid w:val="0007078F"/>
    <w:rsid w:val="000769F1"/>
    <w:rsid w:val="0008696E"/>
    <w:rsid w:val="00087309"/>
    <w:rsid w:val="0009110F"/>
    <w:rsid w:val="00092B7F"/>
    <w:rsid w:val="000A6361"/>
    <w:rsid w:val="000B4DAF"/>
    <w:rsid w:val="000C0DC6"/>
    <w:rsid w:val="000E333C"/>
    <w:rsid w:val="000E4200"/>
    <w:rsid w:val="000F56DF"/>
    <w:rsid w:val="00155F3D"/>
    <w:rsid w:val="00156608"/>
    <w:rsid w:val="00156EA8"/>
    <w:rsid w:val="001609E2"/>
    <w:rsid w:val="001877A2"/>
    <w:rsid w:val="00193929"/>
    <w:rsid w:val="001C0460"/>
    <w:rsid w:val="001C2429"/>
    <w:rsid w:val="001D39B9"/>
    <w:rsid w:val="001D6AFB"/>
    <w:rsid w:val="001E339C"/>
    <w:rsid w:val="00210242"/>
    <w:rsid w:val="002726D3"/>
    <w:rsid w:val="00282C31"/>
    <w:rsid w:val="00291981"/>
    <w:rsid w:val="002922A4"/>
    <w:rsid w:val="002D58E8"/>
    <w:rsid w:val="00310BCA"/>
    <w:rsid w:val="003304F0"/>
    <w:rsid w:val="00364BCD"/>
    <w:rsid w:val="003843D8"/>
    <w:rsid w:val="00387AC2"/>
    <w:rsid w:val="003A5311"/>
    <w:rsid w:val="003F0B9D"/>
    <w:rsid w:val="0040192D"/>
    <w:rsid w:val="00401A04"/>
    <w:rsid w:val="00444835"/>
    <w:rsid w:val="00462F02"/>
    <w:rsid w:val="004723C4"/>
    <w:rsid w:val="00481445"/>
    <w:rsid w:val="004878C2"/>
    <w:rsid w:val="004B4342"/>
    <w:rsid w:val="004E7553"/>
    <w:rsid w:val="004F62FA"/>
    <w:rsid w:val="004F65EA"/>
    <w:rsid w:val="004F7FB3"/>
    <w:rsid w:val="0051656F"/>
    <w:rsid w:val="00516DDF"/>
    <w:rsid w:val="00526B59"/>
    <w:rsid w:val="0053725A"/>
    <w:rsid w:val="0056037D"/>
    <w:rsid w:val="00563538"/>
    <w:rsid w:val="0057730C"/>
    <w:rsid w:val="005914F5"/>
    <w:rsid w:val="005A47F3"/>
    <w:rsid w:val="005A5555"/>
    <w:rsid w:val="005A6799"/>
    <w:rsid w:val="005C1566"/>
    <w:rsid w:val="005C5EA8"/>
    <w:rsid w:val="005D738C"/>
    <w:rsid w:val="005D7519"/>
    <w:rsid w:val="006008C4"/>
    <w:rsid w:val="00602AC2"/>
    <w:rsid w:val="00623055"/>
    <w:rsid w:val="0063486F"/>
    <w:rsid w:val="006358FE"/>
    <w:rsid w:val="00647E3A"/>
    <w:rsid w:val="00671A7D"/>
    <w:rsid w:val="0067448E"/>
    <w:rsid w:val="00683850"/>
    <w:rsid w:val="00696581"/>
    <w:rsid w:val="006A3047"/>
    <w:rsid w:val="006D03C5"/>
    <w:rsid w:val="006E6586"/>
    <w:rsid w:val="006F15AC"/>
    <w:rsid w:val="00717201"/>
    <w:rsid w:val="00717BAA"/>
    <w:rsid w:val="007304E0"/>
    <w:rsid w:val="00752929"/>
    <w:rsid w:val="00763175"/>
    <w:rsid w:val="00780D9F"/>
    <w:rsid w:val="00782BCB"/>
    <w:rsid w:val="007856FB"/>
    <w:rsid w:val="00794F18"/>
    <w:rsid w:val="007A2DB5"/>
    <w:rsid w:val="007A33D1"/>
    <w:rsid w:val="007C2FBB"/>
    <w:rsid w:val="007E130A"/>
    <w:rsid w:val="00803F66"/>
    <w:rsid w:val="008151E4"/>
    <w:rsid w:val="00852E16"/>
    <w:rsid w:val="00864802"/>
    <w:rsid w:val="00871F60"/>
    <w:rsid w:val="00875CBA"/>
    <w:rsid w:val="0089356F"/>
    <w:rsid w:val="008A3AFB"/>
    <w:rsid w:val="008A657D"/>
    <w:rsid w:val="008B57CB"/>
    <w:rsid w:val="008B5FA7"/>
    <w:rsid w:val="008D4632"/>
    <w:rsid w:val="008E20CF"/>
    <w:rsid w:val="0090762F"/>
    <w:rsid w:val="00926045"/>
    <w:rsid w:val="009268CF"/>
    <w:rsid w:val="009352F9"/>
    <w:rsid w:val="00954E2B"/>
    <w:rsid w:val="009614F5"/>
    <w:rsid w:val="00962679"/>
    <w:rsid w:val="0096350F"/>
    <w:rsid w:val="00984FAD"/>
    <w:rsid w:val="00987DAD"/>
    <w:rsid w:val="009A011D"/>
    <w:rsid w:val="009B3DEC"/>
    <w:rsid w:val="009C1222"/>
    <w:rsid w:val="009D5767"/>
    <w:rsid w:val="009D78E7"/>
    <w:rsid w:val="009F0FD8"/>
    <w:rsid w:val="00A006D9"/>
    <w:rsid w:val="00A13E87"/>
    <w:rsid w:val="00A166BC"/>
    <w:rsid w:val="00A51E00"/>
    <w:rsid w:val="00A5251D"/>
    <w:rsid w:val="00A63CA4"/>
    <w:rsid w:val="00A6732C"/>
    <w:rsid w:val="00A93673"/>
    <w:rsid w:val="00AB209E"/>
    <w:rsid w:val="00AB5B4C"/>
    <w:rsid w:val="00AC3257"/>
    <w:rsid w:val="00AD059C"/>
    <w:rsid w:val="00AD1F33"/>
    <w:rsid w:val="00AF7888"/>
    <w:rsid w:val="00B0275C"/>
    <w:rsid w:val="00B07D20"/>
    <w:rsid w:val="00B11666"/>
    <w:rsid w:val="00B121DD"/>
    <w:rsid w:val="00B20FA8"/>
    <w:rsid w:val="00B328AE"/>
    <w:rsid w:val="00B7056E"/>
    <w:rsid w:val="00B72653"/>
    <w:rsid w:val="00B874B1"/>
    <w:rsid w:val="00B92EB1"/>
    <w:rsid w:val="00BA1BAB"/>
    <w:rsid w:val="00BB1702"/>
    <w:rsid w:val="00BC05B7"/>
    <w:rsid w:val="00BE16C4"/>
    <w:rsid w:val="00BE6A32"/>
    <w:rsid w:val="00BF04CC"/>
    <w:rsid w:val="00C32BDA"/>
    <w:rsid w:val="00C33644"/>
    <w:rsid w:val="00C3728D"/>
    <w:rsid w:val="00C55BD1"/>
    <w:rsid w:val="00C71F44"/>
    <w:rsid w:val="00C73111"/>
    <w:rsid w:val="00C7735C"/>
    <w:rsid w:val="00C97BA0"/>
    <w:rsid w:val="00CA3A9D"/>
    <w:rsid w:val="00CB71D0"/>
    <w:rsid w:val="00CC510C"/>
    <w:rsid w:val="00CE17F2"/>
    <w:rsid w:val="00CE2703"/>
    <w:rsid w:val="00CF5EA2"/>
    <w:rsid w:val="00D24AD6"/>
    <w:rsid w:val="00D4218C"/>
    <w:rsid w:val="00D6152F"/>
    <w:rsid w:val="00D65FB7"/>
    <w:rsid w:val="00D86FC6"/>
    <w:rsid w:val="00DA2352"/>
    <w:rsid w:val="00DA7AEB"/>
    <w:rsid w:val="00DD1181"/>
    <w:rsid w:val="00DF65F1"/>
    <w:rsid w:val="00E00741"/>
    <w:rsid w:val="00E04FB9"/>
    <w:rsid w:val="00E128ED"/>
    <w:rsid w:val="00E1475B"/>
    <w:rsid w:val="00E14F0B"/>
    <w:rsid w:val="00E3277B"/>
    <w:rsid w:val="00E33FC2"/>
    <w:rsid w:val="00E40B13"/>
    <w:rsid w:val="00E44A02"/>
    <w:rsid w:val="00E45606"/>
    <w:rsid w:val="00E50323"/>
    <w:rsid w:val="00E60251"/>
    <w:rsid w:val="00E76788"/>
    <w:rsid w:val="00E908AA"/>
    <w:rsid w:val="00EC21FC"/>
    <w:rsid w:val="00EC2DA1"/>
    <w:rsid w:val="00ED64EB"/>
    <w:rsid w:val="00EE1F3C"/>
    <w:rsid w:val="00F228B5"/>
    <w:rsid w:val="00F322FA"/>
    <w:rsid w:val="00F44C94"/>
    <w:rsid w:val="00F44F08"/>
    <w:rsid w:val="00F513B4"/>
    <w:rsid w:val="00F52585"/>
    <w:rsid w:val="00F56344"/>
    <w:rsid w:val="00F85CA9"/>
    <w:rsid w:val="00F927D9"/>
    <w:rsid w:val="00FB26C1"/>
    <w:rsid w:val="00FB3F90"/>
    <w:rsid w:val="00FC63FB"/>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A39C1-C5FE-44AE-A377-4309B6E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D2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4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13"/>
  </w:style>
  <w:style w:type="paragraph" w:styleId="Footer">
    <w:name w:val="footer"/>
    <w:basedOn w:val="Normal"/>
    <w:link w:val="FooterChar"/>
    <w:uiPriority w:val="99"/>
    <w:unhideWhenUsed/>
    <w:rsid w:val="00E4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13"/>
  </w:style>
  <w:style w:type="paragraph" w:styleId="BalloonText">
    <w:name w:val="Balloon Text"/>
    <w:basedOn w:val="Normal"/>
    <w:link w:val="BalloonTextChar"/>
    <w:uiPriority w:val="99"/>
    <w:semiHidden/>
    <w:unhideWhenUsed/>
    <w:rsid w:val="00E4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3262">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17114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54F9-9292-4FA9-AD0C-15F6CD89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gkuck</dc:creator>
  <cp:lastModifiedBy>Blackwell, Shari L</cp:lastModifiedBy>
  <cp:revision>2</cp:revision>
  <cp:lastPrinted>2018-04-27T16:41:00Z</cp:lastPrinted>
  <dcterms:created xsi:type="dcterms:W3CDTF">2019-01-28T19:39:00Z</dcterms:created>
  <dcterms:modified xsi:type="dcterms:W3CDTF">2019-01-28T19:39:00Z</dcterms:modified>
</cp:coreProperties>
</file>